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58" w:rsidRPr="0088688B" w:rsidRDefault="00F25658" w:rsidP="00C3622A">
      <w:pPr>
        <w:pStyle w:val="Heading3"/>
        <w:jc w:val="both"/>
        <w:rPr>
          <w:rFonts w:ascii="Calibri" w:hAnsi="Calibri"/>
          <w:szCs w:val="28"/>
        </w:rPr>
      </w:pPr>
      <w:r w:rsidRPr="0088688B">
        <w:rPr>
          <w:rFonts w:ascii="Calibri" w:hAnsi="Calibri"/>
          <w:szCs w:val="28"/>
        </w:rPr>
        <w:t>Media release</w:t>
      </w:r>
    </w:p>
    <w:p w:rsidR="00F25658" w:rsidRPr="0088688B" w:rsidRDefault="00F25658" w:rsidP="0088688B">
      <w:pPr>
        <w:jc w:val="both"/>
        <w:rPr>
          <w:sz w:val="28"/>
          <w:szCs w:val="28"/>
        </w:rPr>
      </w:pPr>
      <w:r>
        <w:rPr>
          <w:sz w:val="28"/>
          <w:szCs w:val="28"/>
        </w:rPr>
        <w:t>8</w:t>
      </w:r>
      <w:r w:rsidRPr="0088688B">
        <w:rPr>
          <w:sz w:val="28"/>
          <w:szCs w:val="28"/>
          <w:vertAlign w:val="superscript"/>
        </w:rPr>
        <w:t>th</w:t>
      </w:r>
      <w:r w:rsidRPr="0088688B">
        <w:rPr>
          <w:sz w:val="28"/>
          <w:szCs w:val="28"/>
        </w:rPr>
        <w:t xml:space="preserve"> </w:t>
      </w:r>
      <w:r>
        <w:rPr>
          <w:sz w:val="28"/>
          <w:szCs w:val="28"/>
        </w:rPr>
        <w:t>November</w:t>
      </w:r>
    </w:p>
    <w:p w:rsidR="00F25658" w:rsidRDefault="00F25658" w:rsidP="0088688B">
      <w:pPr>
        <w:jc w:val="both"/>
        <w:rPr>
          <w:b/>
          <w:sz w:val="32"/>
        </w:rPr>
      </w:pPr>
      <w:r>
        <w:rPr>
          <w:b/>
          <w:sz w:val="32"/>
        </w:rPr>
        <w:t>Spring buyers keen but supply tight</w:t>
      </w:r>
    </w:p>
    <w:p w:rsidR="00F25658" w:rsidRPr="000C4DDD" w:rsidRDefault="00F25658" w:rsidP="008C0C0F">
      <w:pPr>
        <w:spacing w:after="0" w:line="240" w:lineRule="auto"/>
      </w:pPr>
      <w:r>
        <w:t>The latest monthly property value index shows that nationwide residential values continued to climb in October. Values are up 1.9% over the past three months and 5.7% over the past year. As a result, values are now 1.1% above the previous market peak of late 2007.</w:t>
      </w:r>
    </w:p>
    <w:p w:rsidR="00F25658" w:rsidRPr="000C4DDD" w:rsidRDefault="00F25658" w:rsidP="007537D5">
      <w:pPr>
        <w:spacing w:after="0" w:line="240" w:lineRule="auto"/>
      </w:pPr>
      <w:r w:rsidRPr="00ED4AED">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5.75pt;height:368.25pt;visibility:visible">
            <v:imagedata r:id="rId5" o:title=""/>
          </v:shape>
        </w:pict>
      </w:r>
    </w:p>
    <w:p w:rsidR="00F25658" w:rsidRDefault="00F25658" w:rsidP="003B26B2">
      <w:pPr>
        <w:pStyle w:val="NoSpacing"/>
      </w:pPr>
      <w:r>
        <w:t xml:space="preserve">Jonno Ingerson, QV.co.nz Research Director </w:t>
      </w:r>
      <w:r w:rsidRPr="000C4DDD">
        <w:t xml:space="preserve">said </w:t>
      </w:r>
      <w:r>
        <w:t>“there has been a late spring surge in activity with both buyer enquiry and the number of sales having risen. However, a lack of listings is constraining the market, particularly in the majority of the main centres.”</w:t>
      </w:r>
    </w:p>
    <w:p w:rsidR="00F25658" w:rsidRDefault="00F25658" w:rsidP="003B26B2">
      <w:pPr>
        <w:pStyle w:val="NoSpacing"/>
      </w:pPr>
    </w:p>
    <w:p w:rsidR="00F25658" w:rsidRDefault="00F25658" w:rsidP="003B26B2">
      <w:pPr>
        <w:pStyle w:val="NoSpacing"/>
      </w:pPr>
      <w:r w:rsidRPr="00577483">
        <w:t>“</w:t>
      </w:r>
      <w:r>
        <w:t>Although t</w:t>
      </w:r>
      <w:r w:rsidRPr="00577483">
        <w:t>he nationwide increase in values is largely being driven by Auckland and Canterbury</w:t>
      </w:r>
      <w:r>
        <w:t xml:space="preserve">, </w:t>
      </w:r>
      <w:r w:rsidRPr="00577483">
        <w:t>there are some signs that other main centres and provincial cities are increasing in value</w:t>
      </w:r>
      <w:r>
        <w:t xml:space="preserve"> also</w:t>
      </w:r>
      <w:r w:rsidRPr="00577483">
        <w:t>” said Jonno Ingerson.</w:t>
      </w:r>
    </w:p>
    <w:p w:rsidR="00F25658" w:rsidRDefault="00F25658" w:rsidP="003B26B2">
      <w:pPr>
        <w:pStyle w:val="NoSpacing"/>
      </w:pPr>
    </w:p>
    <w:p w:rsidR="00F25658" w:rsidRDefault="00F25658" w:rsidP="003B26B2">
      <w:pPr>
        <w:pStyle w:val="NoSpacing"/>
      </w:pPr>
      <w:r>
        <w:t>“Property investors and first home buyers remain active in the market, encouraged by low interest rates” said Jonno Ingerson.</w:t>
      </w:r>
    </w:p>
    <w:p w:rsidR="00F25658" w:rsidRDefault="00F25658" w:rsidP="003B26B2">
      <w:pPr>
        <w:pStyle w:val="NoSpacing"/>
        <w:rPr>
          <w:b/>
        </w:rPr>
      </w:pPr>
    </w:p>
    <w:p w:rsidR="00F25658" w:rsidRDefault="00F25658" w:rsidP="003B26B2">
      <w:pPr>
        <w:pStyle w:val="NoSpacing"/>
        <w:rPr>
          <w:b/>
        </w:rPr>
      </w:pPr>
      <w:r w:rsidRPr="000C4DDD">
        <w:rPr>
          <w:b/>
        </w:rPr>
        <w:t>Auckland</w:t>
      </w:r>
    </w:p>
    <w:p w:rsidR="00F25658" w:rsidRPr="00864F63" w:rsidRDefault="00F25658" w:rsidP="003B26B2">
      <w:pPr>
        <w:pStyle w:val="NoSpacing"/>
      </w:pPr>
      <w:r w:rsidRPr="00864F63">
        <w:t>Values in the wider Auckland area have risen 3.3% over the past three months and 9.2% over the past year.</w:t>
      </w:r>
    </w:p>
    <w:p w:rsidR="00F25658" w:rsidRPr="00864F63" w:rsidRDefault="00F25658" w:rsidP="003B26B2">
      <w:pPr>
        <w:pStyle w:val="NoSpacing"/>
      </w:pPr>
    </w:p>
    <w:p w:rsidR="00F25658" w:rsidRDefault="00F25658" w:rsidP="003B26B2">
      <w:pPr>
        <w:pStyle w:val="NoSpacing"/>
      </w:pPr>
      <w:r w:rsidRPr="00864F63">
        <w:t xml:space="preserve">Old Auckland City continues to have the steepest increase over the past 12 months, up 10.7%, with North Shore and Manukau close behind, up 8.9% and 8.1% respectively. </w:t>
      </w:r>
    </w:p>
    <w:p w:rsidR="00F25658" w:rsidRPr="00864F63" w:rsidRDefault="00F25658" w:rsidP="003B26B2">
      <w:pPr>
        <w:pStyle w:val="NoSpacing"/>
      </w:pPr>
    </w:p>
    <w:p w:rsidR="00F25658" w:rsidRDefault="00F25658" w:rsidP="003B26B2">
      <w:pPr>
        <w:pStyle w:val="NoSpacing"/>
      </w:pPr>
      <w:r w:rsidRPr="00864F63">
        <w:t>Values in the wider Auckland area are now 9.1% above the previous market peak in 2007, led by old Auckland City which is 12.5% above that mark.</w:t>
      </w:r>
    </w:p>
    <w:p w:rsidR="00F25658" w:rsidRDefault="00F25658" w:rsidP="003B26B2">
      <w:pPr>
        <w:pStyle w:val="NoSpacing"/>
      </w:pPr>
    </w:p>
    <w:p w:rsidR="00F25658" w:rsidRDefault="00F25658" w:rsidP="003B26B2">
      <w:pPr>
        <w:pStyle w:val="NoSpacing"/>
      </w:pPr>
      <w:r>
        <w:t xml:space="preserve">QV Operations Manager Kerry Stewart said “There is growing demand for more listings throughout Auckland.  Good properties are still attracting numerous interested buyers, with auctions especially proving successful for many, with multiple  bidders not uncommon.” </w:t>
      </w:r>
    </w:p>
    <w:p w:rsidR="00F25658" w:rsidRDefault="00F25658" w:rsidP="003B26B2">
      <w:pPr>
        <w:pStyle w:val="NoSpacing"/>
      </w:pPr>
    </w:p>
    <w:p w:rsidR="00F25658" w:rsidRDefault="00F25658" w:rsidP="003B26B2">
      <w:pPr>
        <w:pStyle w:val="NoSpacing"/>
      </w:pPr>
      <w:r>
        <w:t xml:space="preserve"> “Investors are also coming back into the market, most looking to on sell relatively quickly as they try to capitalise on the quick growth in the current market” said Kerry Stewart.  </w:t>
      </w:r>
    </w:p>
    <w:p w:rsidR="00F25658" w:rsidRDefault="00F25658" w:rsidP="003B26B2">
      <w:pPr>
        <w:pStyle w:val="NoSpacing"/>
      </w:pPr>
    </w:p>
    <w:p w:rsidR="00F25658" w:rsidRPr="003B26B2" w:rsidRDefault="00F25658" w:rsidP="003B26B2">
      <w:pPr>
        <w:pStyle w:val="NoSpacing"/>
        <w:rPr>
          <w:b/>
        </w:rPr>
      </w:pPr>
      <w:r w:rsidRPr="003B26B2">
        <w:rPr>
          <w:b/>
        </w:rPr>
        <w:t>Hamilton and Tauranga</w:t>
      </w:r>
    </w:p>
    <w:p w:rsidR="00F25658" w:rsidRDefault="00F25658" w:rsidP="003B26B2">
      <w:pPr>
        <w:pStyle w:val="NoSpacing"/>
      </w:pPr>
      <w:r w:rsidRPr="0075497E">
        <w:t>Values in Hamilton are generally still rising with a 3.1% increase on last year and 0.5% increase over the past three months.</w:t>
      </w:r>
      <w:r>
        <w:t xml:space="preserve"> </w:t>
      </w:r>
    </w:p>
    <w:p w:rsidR="00F25658" w:rsidRDefault="00F25658" w:rsidP="003B26B2">
      <w:pPr>
        <w:pStyle w:val="NoSpacing"/>
      </w:pPr>
    </w:p>
    <w:p w:rsidR="00F25658" w:rsidRDefault="00F25658" w:rsidP="003B26B2">
      <w:pPr>
        <w:pStyle w:val="NoSpacing"/>
      </w:pPr>
      <w:r>
        <w:t>QV Valuer Nicky Harris said “Hamilton is still trending positively with multiple offers and auctions prominent at the moment.  Lately we have seen more out of town buyers as well as the lower valued $300,000 - $350,000 properties proving popular amongst first home buyers.”</w:t>
      </w:r>
    </w:p>
    <w:p w:rsidR="00F25658" w:rsidRDefault="00F25658" w:rsidP="003B26B2">
      <w:pPr>
        <w:pStyle w:val="NoSpacing"/>
      </w:pPr>
    </w:p>
    <w:p w:rsidR="00F25658" w:rsidRDefault="00F25658" w:rsidP="003B26B2">
      <w:pPr>
        <w:pStyle w:val="NoSpacing"/>
      </w:pPr>
      <w:r>
        <w:t>“North eastern areas are seeing more new developments with a demand for vacant sections.  This is pushing prices up and we are seeing a lot of listings as a result” said Nicky Harris.</w:t>
      </w:r>
    </w:p>
    <w:p w:rsidR="00F25658" w:rsidRDefault="00F25658" w:rsidP="003B26B2">
      <w:pPr>
        <w:pStyle w:val="NoSpacing"/>
      </w:pPr>
    </w:p>
    <w:p w:rsidR="00F25658" w:rsidRDefault="00F25658" w:rsidP="003B26B2">
      <w:pPr>
        <w:pStyle w:val="NoSpacing"/>
      </w:pPr>
      <w:r>
        <w:t xml:space="preserve">Property values in </w:t>
      </w:r>
      <w:r w:rsidRPr="0009757A">
        <w:t>Tauranga ha</w:t>
      </w:r>
      <w:r>
        <w:t xml:space="preserve">ve been up and down over the past six months, but the most recent months have seen a slight increase to leave values </w:t>
      </w:r>
      <w:r w:rsidRPr="0009757A">
        <w:t xml:space="preserve">2.2% </w:t>
      </w:r>
      <w:r>
        <w:t xml:space="preserve">up </w:t>
      </w:r>
      <w:r w:rsidRPr="0009757A">
        <w:t>on last year.</w:t>
      </w:r>
    </w:p>
    <w:p w:rsidR="00F25658" w:rsidRDefault="00F25658" w:rsidP="003B26B2">
      <w:pPr>
        <w:pStyle w:val="NoSpacing"/>
        <w:rPr>
          <w:b/>
        </w:rPr>
      </w:pPr>
    </w:p>
    <w:p w:rsidR="00F25658" w:rsidRPr="000C4DDD" w:rsidRDefault="00F25658" w:rsidP="003B26B2">
      <w:pPr>
        <w:pStyle w:val="NoSpacing"/>
        <w:rPr>
          <w:b/>
        </w:rPr>
      </w:pPr>
      <w:r w:rsidRPr="000C4DDD">
        <w:rPr>
          <w:b/>
        </w:rPr>
        <w:t>Wellington</w:t>
      </w:r>
    </w:p>
    <w:p w:rsidR="00F25658" w:rsidRDefault="00F25658" w:rsidP="003B26B2">
      <w:pPr>
        <w:pStyle w:val="NoSpacing"/>
      </w:pPr>
      <w:r>
        <w:t>Values in the Wellington area increased for the second month in a row after being stable for the previous six months and as a result are now 2.4% up over the past year.</w:t>
      </w:r>
    </w:p>
    <w:p w:rsidR="00F25658" w:rsidRDefault="00F25658" w:rsidP="007D5677">
      <w:pPr>
        <w:spacing w:after="0" w:line="240" w:lineRule="auto"/>
      </w:pPr>
    </w:p>
    <w:p w:rsidR="00F25658" w:rsidRDefault="00F25658" w:rsidP="007D5677">
      <w:pPr>
        <w:spacing w:after="0" w:line="240" w:lineRule="auto"/>
      </w:pPr>
      <w:r>
        <w:t xml:space="preserve">QV Valuer Kerry Buckeridge said “A late spring rush has seen a number of properties which have sat over winter finding buyers in recent weeks.  There is good interest in the southern and eastern suburbs as well as increased listings within the top end of the market.  However, although more highly priced properties are coming onto the market, few sales are actually eventuating.  Generally the increased interest is not translating to increased values.” </w:t>
      </w:r>
    </w:p>
    <w:p w:rsidR="00F25658" w:rsidRDefault="00F25658" w:rsidP="007D5677">
      <w:pPr>
        <w:spacing w:after="0" w:line="240" w:lineRule="auto"/>
      </w:pPr>
    </w:p>
    <w:p w:rsidR="00F25658" w:rsidRDefault="00F25658" w:rsidP="007537D5">
      <w:pPr>
        <w:spacing w:after="0" w:line="240" w:lineRule="auto"/>
      </w:pPr>
      <w:r>
        <w:t>“Apartment living is still being affected with a wide variance in Body Corporate levies between various apartment blocks becoming apparent. This is being driven mainly by insurance costs, especially with some buildings built on reclaimed land or having low earthquake ratings seeing higher premiums” said Kerry Buckeridge.</w:t>
      </w:r>
    </w:p>
    <w:p w:rsidR="00F25658" w:rsidRDefault="00F25658" w:rsidP="007537D5">
      <w:pPr>
        <w:spacing w:after="0" w:line="240" w:lineRule="auto"/>
      </w:pPr>
    </w:p>
    <w:p w:rsidR="00F25658" w:rsidRPr="000C4DDD" w:rsidRDefault="00F25658" w:rsidP="00CD62BB">
      <w:pPr>
        <w:keepNext/>
        <w:spacing w:after="0" w:line="240" w:lineRule="auto"/>
        <w:rPr>
          <w:b/>
        </w:rPr>
      </w:pPr>
      <w:r w:rsidRPr="000C4DDD">
        <w:rPr>
          <w:b/>
        </w:rPr>
        <w:t>Christchurch</w:t>
      </w:r>
    </w:p>
    <w:p w:rsidR="00F25658" w:rsidRDefault="00F25658" w:rsidP="007D5677">
      <w:pPr>
        <w:spacing w:after="0" w:line="240" w:lineRule="auto"/>
      </w:pPr>
      <w:r w:rsidRPr="00F34034">
        <w:t>Christchurch values continue to rise with the past 12 months seeing a 5.9% increase, and the past three months a 1.8% rise.  Christchurch now sits 3.8% above the 2007 peak</w:t>
      </w:r>
      <w:r>
        <w:t>.</w:t>
      </w:r>
    </w:p>
    <w:p w:rsidR="00F25658" w:rsidRDefault="00F25658" w:rsidP="007D5677">
      <w:pPr>
        <w:spacing w:after="0" w:line="240" w:lineRule="auto"/>
      </w:pPr>
    </w:p>
    <w:p w:rsidR="00F25658" w:rsidRDefault="00F25658" w:rsidP="007D5677">
      <w:pPr>
        <w:spacing w:after="0" w:line="240" w:lineRule="auto"/>
      </w:pPr>
      <w:r>
        <w:t>QV Valuer Daryl Taggart said “Auction is still proving a successful selling option in Christchurch with competition strong and properties in the $300,000 - $400,000 range achieving good results.  A number of larger new developments have been selling well with steady demand expected to continue. Eastern and hill suburbs remain flat as expected with Selwyn and Waimakariri continuing to attract a lot of activity.”</w:t>
      </w:r>
    </w:p>
    <w:p w:rsidR="00F25658" w:rsidRDefault="00F25658" w:rsidP="007537D5">
      <w:pPr>
        <w:spacing w:after="0" w:line="240" w:lineRule="auto"/>
        <w:rPr>
          <w:rFonts w:cs="Calibri"/>
          <w:lang w:val="en-US"/>
        </w:rPr>
      </w:pPr>
    </w:p>
    <w:p w:rsidR="00F25658" w:rsidRPr="000C4DDD" w:rsidRDefault="00F25658" w:rsidP="007537D5">
      <w:pPr>
        <w:spacing w:after="0" w:line="240" w:lineRule="auto"/>
        <w:rPr>
          <w:b/>
        </w:rPr>
      </w:pPr>
      <w:r w:rsidRPr="000C4DDD">
        <w:rPr>
          <w:b/>
        </w:rPr>
        <w:t>Dunedin</w:t>
      </w:r>
    </w:p>
    <w:p w:rsidR="00F25658" w:rsidRDefault="00F25658" w:rsidP="007D5677">
      <w:pPr>
        <w:spacing w:after="0" w:line="240" w:lineRule="auto"/>
      </w:pPr>
      <w:r>
        <w:t>Values in Dunedin also continue to rise, now 4.5% up over the past year and 1.4% up over the past three months.</w:t>
      </w:r>
    </w:p>
    <w:p w:rsidR="00F25658" w:rsidRDefault="00F25658" w:rsidP="007D5677">
      <w:pPr>
        <w:spacing w:after="0" w:line="240" w:lineRule="auto"/>
      </w:pPr>
    </w:p>
    <w:p w:rsidR="00F25658" w:rsidRDefault="00F25658" w:rsidP="007D5677">
      <w:pPr>
        <w:spacing w:after="0" w:line="240" w:lineRule="auto"/>
      </w:pPr>
      <w:r>
        <w:t>QV Valuer Tim Gibson said “Mid valued properties in sought after locations are receiving good interest at open homes lately with quick sales occurring and not much evidence of lowered pricing.  Lower valued properties are also seeing few properties going at discounted prices.  However, properties that are dated or that are different to buyers expectations are taking much longer to sell and quite often at lower prices.”</w:t>
      </w:r>
    </w:p>
    <w:p w:rsidR="00F25658" w:rsidRDefault="00F25658" w:rsidP="007537D5">
      <w:pPr>
        <w:spacing w:after="0" w:line="240" w:lineRule="auto"/>
        <w:rPr>
          <w:b/>
        </w:rPr>
      </w:pPr>
    </w:p>
    <w:p w:rsidR="00F25658" w:rsidRPr="000C4DDD" w:rsidRDefault="00F25658" w:rsidP="007537D5">
      <w:pPr>
        <w:spacing w:after="0" w:line="240" w:lineRule="auto"/>
        <w:rPr>
          <w:b/>
        </w:rPr>
      </w:pPr>
      <w:r w:rsidRPr="000C4DDD">
        <w:rPr>
          <w:b/>
        </w:rPr>
        <w:t>Provincial centres</w:t>
      </w:r>
    </w:p>
    <w:p w:rsidR="00F25658" w:rsidRDefault="00F25658" w:rsidP="007537D5">
      <w:pPr>
        <w:spacing w:after="0" w:line="240" w:lineRule="auto"/>
      </w:pPr>
      <w:r>
        <w:t>All the main provincial centres have increased in value over the past three months, with the exception of Wanganui and Invercargill which are slightly down, and Whangarei which is down 1.3%. However over the past month only Invercargill has continued to drop with the other two areas rebounding slightly.</w:t>
      </w:r>
    </w:p>
    <w:p w:rsidR="00F25658" w:rsidRDefault="00F25658" w:rsidP="007537D5">
      <w:pPr>
        <w:spacing w:after="0" w:line="240" w:lineRule="auto"/>
      </w:pPr>
    </w:p>
    <w:p w:rsidR="00F25658" w:rsidRDefault="00F25658" w:rsidP="007537D5">
      <w:pPr>
        <w:spacing w:after="0" w:line="240" w:lineRule="auto"/>
      </w:pPr>
    </w:p>
    <w:p w:rsidR="00F25658" w:rsidRDefault="00F25658" w:rsidP="00C82F35">
      <w:pPr>
        <w:spacing w:after="0" w:line="240" w:lineRule="auto"/>
        <w:jc w:val="both"/>
        <w:rPr>
          <w:b/>
          <w:bCs/>
          <w:lang w:val="en-GB"/>
        </w:rPr>
      </w:pPr>
      <w:r w:rsidRPr="00F53C93">
        <w:rPr>
          <w:b/>
          <w:bCs/>
          <w:lang w:val="en-GB"/>
        </w:rPr>
        <w:t xml:space="preserve">For </w:t>
      </w:r>
      <w:r>
        <w:rPr>
          <w:b/>
          <w:bCs/>
          <w:lang w:val="en-GB"/>
        </w:rPr>
        <w:t xml:space="preserve">media enquiries and interviews, and for </w:t>
      </w:r>
      <w:r w:rsidRPr="00F53C93">
        <w:rPr>
          <w:b/>
          <w:bCs/>
          <w:lang w:val="en-GB"/>
        </w:rPr>
        <w:t>further information contact:</w:t>
      </w:r>
    </w:p>
    <w:p w:rsidR="00F25658" w:rsidRDefault="00F25658" w:rsidP="00C82F35">
      <w:pPr>
        <w:spacing w:after="0" w:line="240" w:lineRule="auto"/>
        <w:jc w:val="both"/>
        <w:rPr>
          <w:lang w:val="en-GB"/>
        </w:rPr>
      </w:pPr>
      <w:r>
        <w:rPr>
          <w:lang w:val="en-GB"/>
        </w:rPr>
        <w:t>Jonno Ingerson</w:t>
      </w:r>
    </w:p>
    <w:p w:rsidR="00F25658" w:rsidRPr="00F53C93" w:rsidRDefault="00F25658" w:rsidP="00C82F35">
      <w:pPr>
        <w:spacing w:after="0" w:line="240" w:lineRule="auto"/>
        <w:jc w:val="both"/>
        <w:rPr>
          <w:b/>
          <w:bCs/>
          <w:lang w:val="en-GB"/>
        </w:rPr>
      </w:pPr>
      <w:r>
        <w:rPr>
          <w:lang w:val="en-GB"/>
        </w:rPr>
        <w:t>Research Director QV.co.nz</w:t>
      </w:r>
    </w:p>
    <w:p w:rsidR="00F25658" w:rsidRPr="004D57C7" w:rsidRDefault="00F25658" w:rsidP="007537D5">
      <w:pPr>
        <w:tabs>
          <w:tab w:val="left" w:pos="4820"/>
        </w:tabs>
        <w:spacing w:after="0" w:line="240" w:lineRule="auto"/>
        <w:rPr>
          <w:b/>
        </w:rPr>
      </w:pPr>
      <w:r>
        <w:rPr>
          <w:lang w:val="en-GB"/>
        </w:rPr>
        <w:t>Tel: 04 802 1239</w:t>
      </w:r>
      <w:r>
        <w:tab/>
      </w:r>
    </w:p>
    <w:p w:rsidR="00F25658" w:rsidRDefault="00F25658" w:rsidP="007537D5">
      <w:pPr>
        <w:tabs>
          <w:tab w:val="left" w:pos="4962"/>
        </w:tabs>
        <w:spacing w:after="0" w:line="240" w:lineRule="auto"/>
      </w:pPr>
      <w:r>
        <w:rPr>
          <w:lang w:val="en-GB"/>
        </w:rPr>
        <w:t>Mobile: 027 454 6642</w:t>
      </w:r>
      <w:r>
        <w:tab/>
      </w:r>
    </w:p>
    <w:p w:rsidR="00F25658" w:rsidRDefault="00F25658" w:rsidP="007537D5">
      <w:pPr>
        <w:tabs>
          <w:tab w:val="left" w:pos="4962"/>
        </w:tabs>
        <w:spacing w:after="0" w:line="240" w:lineRule="auto"/>
      </w:pPr>
      <w:r>
        <w:rPr>
          <w:lang w:val="en-GB"/>
        </w:rPr>
        <w:t xml:space="preserve">Email: </w:t>
      </w:r>
      <w:hyperlink r:id="rId6" w:history="1">
        <w:r w:rsidRPr="00C53BBF">
          <w:rPr>
            <w:rStyle w:val="Hyperlink"/>
            <w:lang w:val="en-GB"/>
          </w:rPr>
          <w:t>jonno.ingerson@propertyiq.co.nz</w:t>
        </w:r>
      </w:hyperlink>
      <w:r>
        <w:rPr>
          <w:lang w:val="en-GB"/>
        </w:rPr>
        <w:tab/>
      </w:r>
    </w:p>
    <w:p w:rsidR="00F25658" w:rsidRDefault="00F25658" w:rsidP="007537D5">
      <w:pPr>
        <w:tabs>
          <w:tab w:val="left" w:pos="4962"/>
        </w:tabs>
        <w:spacing w:after="0" w:line="240" w:lineRule="auto"/>
      </w:pPr>
      <w:r>
        <w:tab/>
      </w:r>
    </w:p>
    <w:p w:rsidR="00F25658" w:rsidRDefault="00F25658" w:rsidP="007537D5">
      <w:pPr>
        <w:tabs>
          <w:tab w:val="left" w:pos="4962"/>
        </w:tabs>
        <w:spacing w:after="0" w:line="240" w:lineRule="auto"/>
        <w:rPr>
          <w:b/>
        </w:rPr>
      </w:pPr>
    </w:p>
    <w:p w:rsidR="00F25658" w:rsidRDefault="00F25658" w:rsidP="007537D5">
      <w:pPr>
        <w:tabs>
          <w:tab w:val="left" w:pos="4962"/>
        </w:tabs>
        <w:spacing w:after="0" w:line="240" w:lineRule="auto"/>
      </w:pPr>
      <w:r w:rsidRPr="004D57C7">
        <w:rPr>
          <w:b/>
        </w:rPr>
        <w:t>For further specific comment on local areas:</w:t>
      </w:r>
      <w:r>
        <w:tab/>
      </w:r>
    </w:p>
    <w:p w:rsidR="00F25658" w:rsidRDefault="00F25658" w:rsidP="007537D5">
      <w:pPr>
        <w:tabs>
          <w:tab w:val="left" w:pos="4962"/>
        </w:tabs>
        <w:spacing w:after="0" w:line="240" w:lineRule="auto"/>
      </w:pPr>
      <w:r>
        <w:t>Auckland. Kerry Stewart 021 387 106</w:t>
      </w:r>
    </w:p>
    <w:p w:rsidR="00F25658" w:rsidRDefault="00F25658" w:rsidP="007537D5">
      <w:pPr>
        <w:tabs>
          <w:tab w:val="left" w:pos="4962"/>
        </w:tabs>
        <w:spacing w:after="0" w:line="240" w:lineRule="auto"/>
      </w:pPr>
      <w:r>
        <w:t xml:space="preserve">Hamilton. </w:t>
      </w:r>
      <w:r w:rsidRPr="00E81447">
        <w:t xml:space="preserve">Nicky </w:t>
      </w:r>
      <w:r w:rsidRPr="00E81447">
        <w:rPr>
          <w:rFonts w:cs="Arial"/>
        </w:rPr>
        <w:t xml:space="preserve">Harris </w:t>
      </w:r>
      <w:r w:rsidRPr="00E81447">
        <w:rPr>
          <w:rFonts w:cs="Arial"/>
          <w:color w:val="222222"/>
          <w:shd w:val="clear" w:color="auto" w:fill="FFFFFF"/>
        </w:rPr>
        <w:t>027 469 6506</w:t>
      </w:r>
      <w:r>
        <w:tab/>
      </w:r>
    </w:p>
    <w:p w:rsidR="00F25658" w:rsidRDefault="00F25658" w:rsidP="007537D5">
      <w:pPr>
        <w:tabs>
          <w:tab w:val="left" w:pos="4820"/>
        </w:tabs>
        <w:spacing w:after="0" w:line="240" w:lineRule="auto"/>
      </w:pPr>
      <w:r>
        <w:t>Tauranga. Paul Thomas 027 544 4602</w:t>
      </w:r>
    </w:p>
    <w:p w:rsidR="00F25658" w:rsidRDefault="00F25658" w:rsidP="00C82F35">
      <w:pPr>
        <w:spacing w:after="0" w:line="240" w:lineRule="auto"/>
      </w:pPr>
      <w:r>
        <w:t>Wellington. Kerry Buckeridge  021 476 287</w:t>
      </w:r>
    </w:p>
    <w:p w:rsidR="00F25658" w:rsidRDefault="00F25658" w:rsidP="00C82F35">
      <w:pPr>
        <w:spacing w:after="0" w:line="240" w:lineRule="auto"/>
      </w:pPr>
      <w:r>
        <w:t>Christchurch. Daryl Taggart 027 304 9815</w:t>
      </w:r>
    </w:p>
    <w:p w:rsidR="00F25658" w:rsidRDefault="00F25658">
      <w:pPr>
        <w:spacing w:after="0" w:line="240" w:lineRule="auto"/>
      </w:pPr>
      <w:r>
        <w:t>Dunedin. Tim Gibson 021 151 2887</w:t>
      </w:r>
    </w:p>
    <w:p w:rsidR="00F25658" w:rsidRDefault="00F25658">
      <w:pPr>
        <w:spacing w:after="0" w:line="240" w:lineRule="auto"/>
      </w:pPr>
      <w:r>
        <w:br w:type="page"/>
      </w:r>
    </w:p>
    <w:tbl>
      <w:tblPr>
        <w:tblW w:w="9528" w:type="dxa"/>
        <w:tblInd w:w="78" w:type="dxa"/>
        <w:tblLayout w:type="fixed"/>
        <w:tblLook w:val="0000"/>
      </w:tblPr>
      <w:tblGrid>
        <w:gridCol w:w="597"/>
        <w:gridCol w:w="3261"/>
        <w:gridCol w:w="992"/>
        <w:gridCol w:w="1276"/>
        <w:gridCol w:w="992"/>
        <w:gridCol w:w="1134"/>
        <w:gridCol w:w="1276"/>
      </w:tblGrid>
      <w:tr w:rsidR="00F25658" w:rsidRPr="002D425E" w:rsidTr="00216B02">
        <w:trPr>
          <w:trHeight w:val="362"/>
        </w:trPr>
        <w:tc>
          <w:tcPr>
            <w:tcW w:w="3858"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b/>
                <w:bCs/>
                <w:color w:val="000000"/>
                <w:sz w:val="20"/>
                <w:szCs w:val="20"/>
                <w:lang w:eastAsia="en-NZ"/>
              </w:rPr>
            </w:pPr>
            <w:r w:rsidRPr="002D425E">
              <w:rPr>
                <w:rFonts w:cs="Calibri"/>
                <w:b/>
                <w:bCs/>
                <w:color w:val="000000"/>
                <w:sz w:val="20"/>
                <w:szCs w:val="20"/>
                <w:lang w:eastAsia="en-NZ"/>
              </w:rPr>
              <w:t>Residential Property - Monthly price index</w:t>
            </w:r>
          </w:p>
        </w:tc>
        <w:tc>
          <w:tcPr>
            <w:tcW w:w="5670" w:type="dxa"/>
            <w:gridSpan w:val="5"/>
            <w:vMerge w:val="restart"/>
            <w:tcBorders>
              <w:top w:val="single" w:sz="2" w:space="0" w:color="000000"/>
              <w:left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ascii="Arial" w:hAnsi="Arial" w:cs="Arial"/>
                <w:color w:val="000000"/>
                <w:sz w:val="20"/>
                <w:szCs w:val="20"/>
                <w:lang w:eastAsia="en-NZ"/>
              </w:rPr>
            </w:pPr>
          </w:p>
        </w:tc>
      </w:tr>
      <w:tr w:rsidR="00F25658" w:rsidRPr="002D425E" w:rsidTr="00216B02">
        <w:trPr>
          <w:trHeight w:val="305"/>
        </w:trPr>
        <w:tc>
          <w:tcPr>
            <w:tcW w:w="3858"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Time period: as at October 2012</w:t>
            </w:r>
          </w:p>
        </w:tc>
        <w:tc>
          <w:tcPr>
            <w:tcW w:w="5670" w:type="dxa"/>
            <w:gridSpan w:val="5"/>
            <w:vMerge/>
            <w:tcBorders>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ascii="Arial" w:hAnsi="Arial" w:cs="Arial"/>
                <w:color w:val="000000"/>
                <w:sz w:val="20"/>
                <w:szCs w:val="20"/>
                <w:lang w:eastAsia="en-NZ"/>
              </w:rPr>
            </w:pPr>
          </w:p>
        </w:tc>
      </w:tr>
      <w:tr w:rsidR="00F25658" w:rsidRPr="002D425E" w:rsidTr="00216B02">
        <w:trPr>
          <w:trHeight w:val="245"/>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center"/>
              <w:rPr>
                <w:rFonts w:ascii="Arial" w:hAnsi="Arial" w:cs="Arial"/>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center"/>
              <w:rPr>
                <w:rFonts w:ascii="Arial" w:hAnsi="Arial" w:cs="Arial"/>
                <w:color w:val="000000"/>
                <w:sz w:val="20"/>
                <w:szCs w:val="20"/>
                <w:lang w:eastAsia="en-NZ"/>
              </w:rPr>
            </w:pP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center"/>
              <w:rPr>
                <w:rFonts w:ascii="Arial" w:hAnsi="Arial" w:cs="Arial"/>
                <w:color w:val="000000"/>
                <w:sz w:val="20"/>
                <w:szCs w:val="20"/>
                <w:lang w:eastAsia="en-NZ"/>
              </w:rPr>
            </w:pP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center"/>
              <w:rPr>
                <w:rFonts w:ascii="Arial" w:hAnsi="Arial" w:cs="Arial"/>
                <w:color w:val="000000"/>
                <w:sz w:val="20"/>
                <w:szCs w:val="20"/>
                <w:lang w:eastAsia="en-NZ"/>
              </w:rPr>
            </w:pP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p>
        </w:tc>
      </w:tr>
      <w:tr w:rsidR="00F25658" w:rsidRPr="002D425E" w:rsidTr="00216B02">
        <w:trPr>
          <w:trHeight w:val="581"/>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center"/>
              <w:rPr>
                <w:rFonts w:cs="Calibri"/>
                <w:b/>
                <w:bCs/>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b/>
                <w:bCs/>
                <w:color w:val="000000"/>
                <w:sz w:val="20"/>
                <w:szCs w:val="20"/>
                <w:lang w:eastAsia="en-NZ"/>
              </w:rPr>
            </w:pPr>
            <w:r w:rsidRPr="002D425E">
              <w:rPr>
                <w:rFonts w:cs="Calibri"/>
                <w:b/>
                <w:bCs/>
                <w:color w:val="000000"/>
                <w:sz w:val="20"/>
                <w:szCs w:val="20"/>
                <w:lang w:eastAsia="en-NZ"/>
              </w:rPr>
              <w:t>Territorial authority</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center"/>
              <w:rPr>
                <w:rFonts w:cs="Calibri"/>
                <w:b/>
                <w:bCs/>
                <w:color w:val="000000"/>
                <w:sz w:val="20"/>
                <w:szCs w:val="20"/>
                <w:lang w:eastAsia="en-NZ"/>
              </w:rPr>
            </w:pPr>
            <w:r w:rsidRPr="002D425E">
              <w:rPr>
                <w:rFonts w:cs="Calibri"/>
                <w:b/>
                <w:bCs/>
                <w:color w:val="000000"/>
                <w:sz w:val="20"/>
                <w:szCs w:val="20"/>
                <w:lang w:eastAsia="en-NZ"/>
              </w:rPr>
              <w:t>Average current value</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center"/>
              <w:rPr>
                <w:rFonts w:cs="Calibri"/>
                <w:b/>
                <w:bCs/>
                <w:color w:val="000000"/>
                <w:sz w:val="20"/>
                <w:szCs w:val="20"/>
                <w:lang w:eastAsia="en-NZ"/>
              </w:rPr>
            </w:pPr>
            <w:r w:rsidRPr="002D425E">
              <w:rPr>
                <w:rFonts w:cs="Calibri"/>
                <w:b/>
                <w:bCs/>
                <w:color w:val="000000"/>
                <w:sz w:val="20"/>
                <w:szCs w:val="20"/>
                <w:lang w:eastAsia="en-NZ"/>
              </w:rPr>
              <w:t>12 month change%</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center"/>
              <w:rPr>
                <w:rFonts w:cs="Calibri"/>
                <w:b/>
                <w:bCs/>
                <w:color w:val="000000"/>
                <w:sz w:val="20"/>
                <w:szCs w:val="20"/>
                <w:lang w:eastAsia="en-NZ"/>
              </w:rPr>
            </w:pPr>
            <w:r w:rsidRPr="002D425E">
              <w:rPr>
                <w:rFonts w:cs="Calibri"/>
                <w:b/>
                <w:bCs/>
                <w:color w:val="000000"/>
                <w:sz w:val="20"/>
                <w:szCs w:val="20"/>
                <w:lang w:eastAsia="en-NZ"/>
              </w:rPr>
              <w:t>3 month change %</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center"/>
              <w:rPr>
                <w:rFonts w:cs="Calibri"/>
                <w:b/>
                <w:bCs/>
                <w:color w:val="000000"/>
                <w:sz w:val="20"/>
                <w:szCs w:val="20"/>
                <w:lang w:eastAsia="en-NZ"/>
              </w:rPr>
            </w:pPr>
            <w:r w:rsidRPr="002D425E">
              <w:rPr>
                <w:rFonts w:cs="Calibri"/>
                <w:b/>
                <w:bCs/>
                <w:color w:val="000000"/>
                <w:sz w:val="20"/>
                <w:szCs w:val="20"/>
                <w:lang w:eastAsia="en-NZ"/>
              </w:rPr>
              <w:t>Since 2007 market peak change %</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Far North</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317,867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4.0%</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-22.0%</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Whangarei</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322,977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Kaipara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307,211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-1.0%</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3.0%</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-23.4%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Auckland - Rodney</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574,362</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6.5%</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-3.0%</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Hibiscus Coast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575,482</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3.7%</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-2.0%</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Rodney (North)</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572,882</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4.5%</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-4.6%</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Auckland - North Shore</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688,555</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2.7%</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7.4%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Coastal North Shore</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794,323</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3.0%</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North Shore Onewa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545,275</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10.2%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3.0%</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North Harbour</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662,911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7.5%</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1.6%</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Auckland - Waitakere</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443,914</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7.4%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2.4%</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4.2%</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Auckland - City</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702,106</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10.7%</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12.5%</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Auckland City (Central)</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636,980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10.7%</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3.0%</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11.8%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Auckland City (East)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871,648</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9.3%</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Auckland City (South)</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617,374</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12.4%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4.2%</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14.7%</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Islands</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641,264</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4.8%</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0.3%</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Auckland - Manukau</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487,717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Manukau East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653,397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3.7%</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9.6%</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Manukau Central</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372,063</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8.0%</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3.2%</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-1.0%</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Manukau North West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393,912</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8.3%</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6.6%</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Auckland - Papakura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357,481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6.6%</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2.4%</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-0.6%</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Auckland - Franklin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396,471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-2.2%</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Thames Coromandel</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496,054</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5.6%</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1.4%</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-15.3%</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Hauraki</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236,245</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-3.2%</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-17.2%</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Waikato</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262,438</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-0.7%</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-19.0%</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Matamata Piako</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258,416</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-13.7%</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Hamilton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338,187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0.5%</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-8.7%</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Hamilton North East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420,172</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2.7%</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0.7%</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-6.5%</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Central City/North West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317,991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3.3%</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-11.2%</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Hamilton South East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314,136</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0.7%</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-10.1%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Hamilton South West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303,274</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4.0%</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-0.2%</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-11.4%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Waipa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315,415</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3.8%</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0.9%</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Otorohanga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South Waikato</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134,100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0.7%</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-17.9%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Waitomo</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144,150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-4.0%</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-34.9%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Taupo</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346,503</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-0.5%</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0.5%</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-14.6%</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Western BOP</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399,914</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-12.1%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Tauranga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432,718</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0.4%</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Rotorua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271,885</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-0.8%</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2.0%</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-12.5%</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Whakatane</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297,561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-14.3%</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Kawerau</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96,599</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-27.2%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-19.1%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-40.1%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Opotiki</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Gisborne</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230,177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-23.8%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Wairoa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r w:rsidRPr="002D425E">
              <w:rPr>
                <w:rFonts w:ascii="Arial" w:hAnsi="Arial" w:cs="Arial"/>
                <w:color w:val="000000"/>
                <w:sz w:val="20"/>
                <w:szCs w:val="20"/>
                <w:lang w:eastAsia="en-NZ"/>
              </w:rPr>
              <w:t>N/A</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Hastings</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292,130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0.9%</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-7.0%</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Napier</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316,877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0.9%</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-7.2%</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Central Hawkes Bay</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213,526</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7.3%</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0.4%</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-20.3%</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New Plymouth</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323,819</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2.6%</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0.7%</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-3.2%</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Stratford</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200,187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4.6%</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-7.9%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South Taranaki</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180,881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Ruapehu</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144,119</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-4.9%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0.8%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-20.6%</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Wanganui</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189,237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-1.6%</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-13.7%</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Rangitikei</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146,738</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-4.3%</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-0.9%</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-18.4%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Manawatu</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229,395</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1.0%</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-9.7%</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Palmerston North</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280,965</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2.6%</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-6.5%</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Tararua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149,922</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-1.3%</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-14.0%</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Horowhenua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195,810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Kapiti Coast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357,704</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0.5%</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Porirua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371,014</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1.2%</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-3.2%</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Upper Hutt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327,547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0.7%</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-7.8%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Hutt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360,354</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1.7%</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0.2%</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-9.2%</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Wellington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515,030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0.6%</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-4.2%</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Wellington City &amp; Southern Suburbs</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525,897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1.7%</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Eastern Suburbs</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555,856</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4.0%</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-3.6%</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North Wellington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451,885</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2.5%</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-3.0%</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Western Suburbs</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588,388</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2.6%</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0.6%</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Masterton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239,829</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-17.1%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Carterton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242,698</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-0.1%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-12.1%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South Wairarapa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282,050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0.1%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-2.5%</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-17.7%</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Tasman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393,858</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2.0%</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Nelson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383,320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1.6%</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Marlborough</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335,466</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-14.1%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Kaikoura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340,277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3.5%</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4.8%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-22.3%</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Buller</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231,257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13.7%</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3.6%</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11.4%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Grey</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224,610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1.5%</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-6.8%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Westland</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228,626</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0.4%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0.1%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-7.9%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Hurunui</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316,721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5.7%</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0.1%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Waimakariri</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359,997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12.5%</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12.9%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Christchurch</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397,797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East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307,017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0.7%</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Hills</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561,076</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1.9%</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Central City and North</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455,456</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5.8%</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2.2%</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Southwest</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367,981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7.8%</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Banks Peninsula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462,360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5.1%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3.0%</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-3.8%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Selwyn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429,800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12.0%</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0.9%</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13.9%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Ashburton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288,008</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11.9%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Timaru</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259,147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1.7%</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2.6%</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MacKenzie</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262,111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-2.2%</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-11.4%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Waimate</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178,141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2.8%</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-4.3%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-7.1%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Waitaki</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216,332</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1.9%</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-5.3%</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Central Otago</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291,899</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4.1%</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-8.1%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Queenstown Lakes</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622,580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3.6%</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1.5%</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-12.9%</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Dunedin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279,150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4.5%</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1.4%</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-2.6%</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Central/Northern City</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286,372</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Peninsula/Coastal Dunedin</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256,747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5.6%</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-5.2%</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Southern City</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269,728</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5.8%</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1.8%</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-5.5%</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     Taieri</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289,731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5.8%</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2.1%</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Clutha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162,341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-2.4%</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-10.5%</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Southland</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206,306</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-2.3%</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-3.2%</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-11.4%</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Gore</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181,870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4.4%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-1.2%</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i/>
                <w:iCs/>
                <w:color w:val="000000"/>
                <w:sz w:val="20"/>
                <w:szCs w:val="20"/>
                <w:lang w:eastAsia="en-NZ"/>
              </w:rPr>
            </w:pPr>
            <w:r w:rsidRPr="002D425E">
              <w:rPr>
                <w:rFonts w:cs="Calibri"/>
                <w:i/>
                <w:iCs/>
                <w:color w:val="000000"/>
                <w:sz w:val="20"/>
                <w:szCs w:val="20"/>
                <w:lang w:eastAsia="en-NZ"/>
              </w:rPr>
              <w:t>2.8%</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Invercargill</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203,917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1.0%</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-0.5%</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Auckland Area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597,121</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9.2%</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3.3%</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9.1%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Wellington Area</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436,460</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2.4%</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0.6%</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-5.1%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w:t>
            </w: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color w:val="000000"/>
                <w:sz w:val="20"/>
                <w:szCs w:val="20"/>
                <w:lang w:eastAsia="en-NZ"/>
              </w:rPr>
            </w:pPr>
            <w:r w:rsidRPr="002D425E">
              <w:rPr>
                <w:rFonts w:cs="Calibri"/>
                <w:color w:val="000000"/>
                <w:sz w:val="20"/>
                <w:szCs w:val="20"/>
                <w:lang w:eastAsia="en-NZ"/>
              </w:rPr>
              <w:t>Main Urban Areas</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477,327</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6.9%</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2.4%</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r w:rsidRPr="002D425E">
              <w:rPr>
                <w:rFonts w:cs="Calibri"/>
                <w:color w:val="000000"/>
                <w:sz w:val="20"/>
                <w:szCs w:val="20"/>
                <w:lang w:eastAsia="en-NZ"/>
              </w:rPr>
              <w:t>4.1%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color w:val="000000"/>
                <w:sz w:val="20"/>
                <w:szCs w:val="20"/>
                <w:lang w:eastAsia="en-NZ"/>
              </w:rPr>
            </w:pPr>
          </w:p>
        </w:tc>
        <w:tc>
          <w:tcPr>
            <w:tcW w:w="4253" w:type="dxa"/>
            <w:gridSpan w:val="2"/>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cs="Calibri"/>
                <w:b/>
                <w:bCs/>
                <w:color w:val="000000"/>
                <w:sz w:val="20"/>
                <w:szCs w:val="20"/>
                <w:lang w:eastAsia="en-NZ"/>
              </w:rPr>
            </w:pPr>
            <w:r w:rsidRPr="002D425E">
              <w:rPr>
                <w:rFonts w:cs="Calibri"/>
                <w:b/>
                <w:bCs/>
                <w:color w:val="000000"/>
                <w:sz w:val="20"/>
                <w:szCs w:val="20"/>
                <w:lang w:eastAsia="en-NZ"/>
              </w:rPr>
              <w:t>Total NZ</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b/>
                <w:bCs/>
                <w:color w:val="000000"/>
                <w:sz w:val="20"/>
                <w:szCs w:val="20"/>
                <w:lang w:eastAsia="en-NZ"/>
              </w:rPr>
            </w:pPr>
            <w:r w:rsidRPr="002D425E">
              <w:rPr>
                <w:rFonts w:cs="Calibri"/>
                <w:b/>
                <w:bCs/>
                <w:color w:val="000000"/>
                <w:sz w:val="20"/>
                <w:szCs w:val="20"/>
                <w:lang w:eastAsia="en-NZ"/>
              </w:rPr>
              <w:t>420,048</w:t>
            </w:r>
          </w:p>
        </w:tc>
        <w:tc>
          <w:tcPr>
            <w:tcW w:w="992"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b/>
                <w:bCs/>
                <w:color w:val="000000"/>
                <w:sz w:val="20"/>
                <w:szCs w:val="20"/>
                <w:lang w:eastAsia="en-NZ"/>
              </w:rPr>
            </w:pPr>
            <w:r w:rsidRPr="002D425E">
              <w:rPr>
                <w:rFonts w:cs="Calibri"/>
                <w:b/>
                <w:bCs/>
                <w:color w:val="000000"/>
                <w:sz w:val="20"/>
                <w:szCs w:val="20"/>
                <w:lang w:eastAsia="en-NZ"/>
              </w:rPr>
              <w:t>5.7%</w:t>
            </w: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b/>
                <w:bCs/>
                <w:color w:val="000000"/>
                <w:sz w:val="20"/>
                <w:szCs w:val="20"/>
                <w:lang w:eastAsia="en-NZ"/>
              </w:rPr>
            </w:pPr>
            <w:r w:rsidRPr="002D425E">
              <w:rPr>
                <w:rFonts w:cs="Calibri"/>
                <w:b/>
                <w:bCs/>
                <w:color w:val="000000"/>
                <w:sz w:val="20"/>
                <w:szCs w:val="20"/>
                <w:lang w:eastAsia="en-NZ"/>
              </w:rPr>
              <w:t>1.9%</w:t>
            </w: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cs="Calibri"/>
                <w:b/>
                <w:bCs/>
                <w:color w:val="000000"/>
                <w:sz w:val="20"/>
                <w:szCs w:val="20"/>
                <w:lang w:eastAsia="en-NZ"/>
              </w:rPr>
            </w:pPr>
            <w:r w:rsidRPr="002D425E">
              <w:rPr>
                <w:rFonts w:cs="Calibri"/>
                <w:b/>
                <w:bCs/>
                <w:color w:val="000000"/>
                <w:sz w:val="20"/>
                <w:szCs w:val="20"/>
                <w:lang w:eastAsia="en-NZ"/>
              </w:rPr>
              <w:t>1.1%</w:t>
            </w:r>
          </w:p>
        </w:tc>
      </w:tr>
      <w:tr w:rsidR="00F25658" w:rsidRPr="002D425E" w:rsidTr="00216B02">
        <w:trPr>
          <w:trHeight w:val="290"/>
        </w:trPr>
        <w:tc>
          <w:tcPr>
            <w:tcW w:w="597" w:type="dxa"/>
            <w:tcBorders>
              <w:top w:val="single" w:sz="2" w:space="0" w:color="000000"/>
              <w:left w:val="single" w:sz="2" w:space="0" w:color="000000"/>
              <w:bottom w:val="single" w:sz="2" w:space="0" w:color="000000"/>
              <w:right w:val="nil"/>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p>
        </w:tc>
        <w:tc>
          <w:tcPr>
            <w:tcW w:w="4253" w:type="dxa"/>
            <w:gridSpan w:val="2"/>
            <w:tcBorders>
              <w:top w:val="single" w:sz="2" w:space="0" w:color="000000"/>
              <w:left w:val="nil"/>
              <w:bottom w:val="single" w:sz="2" w:space="0" w:color="000000"/>
              <w:right w:val="nil"/>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p>
        </w:tc>
        <w:tc>
          <w:tcPr>
            <w:tcW w:w="1276" w:type="dxa"/>
            <w:tcBorders>
              <w:top w:val="single" w:sz="2" w:space="0" w:color="000000"/>
              <w:left w:val="nil"/>
              <w:bottom w:val="single" w:sz="2" w:space="0" w:color="000000"/>
              <w:right w:val="nil"/>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p>
        </w:tc>
        <w:tc>
          <w:tcPr>
            <w:tcW w:w="992" w:type="dxa"/>
            <w:tcBorders>
              <w:top w:val="single" w:sz="2" w:space="0" w:color="000000"/>
              <w:left w:val="nil"/>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p>
        </w:tc>
        <w:tc>
          <w:tcPr>
            <w:tcW w:w="1134"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p>
        </w:tc>
        <w:tc>
          <w:tcPr>
            <w:tcW w:w="1276" w:type="dxa"/>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p>
        </w:tc>
      </w:tr>
      <w:tr w:rsidR="00F25658" w:rsidRPr="002D425E" w:rsidTr="00216B02">
        <w:trPr>
          <w:trHeight w:val="245"/>
        </w:trPr>
        <w:tc>
          <w:tcPr>
            <w:tcW w:w="3858" w:type="dxa"/>
            <w:gridSpan w:val="2"/>
            <w:tcBorders>
              <w:top w:val="single" w:sz="2" w:space="0" w:color="000000"/>
              <w:left w:val="single" w:sz="2" w:space="0" w:color="000000"/>
              <w:bottom w:val="single" w:sz="2" w:space="0" w:color="000000"/>
              <w:right w:val="nil"/>
            </w:tcBorders>
          </w:tcPr>
          <w:p w:rsidR="00F25658" w:rsidRPr="002D425E" w:rsidRDefault="00F25658" w:rsidP="002D425E">
            <w:pPr>
              <w:autoSpaceDE w:val="0"/>
              <w:autoSpaceDN w:val="0"/>
              <w:adjustRightInd w:val="0"/>
              <w:spacing w:after="0" w:line="240" w:lineRule="auto"/>
              <w:rPr>
                <w:rFonts w:ascii="Arial" w:hAnsi="Arial" w:cs="Arial"/>
                <w:b/>
                <w:bCs/>
                <w:color w:val="000000"/>
                <w:sz w:val="20"/>
                <w:szCs w:val="20"/>
                <w:lang w:eastAsia="en-NZ"/>
              </w:rPr>
            </w:pPr>
            <w:r w:rsidRPr="002D425E">
              <w:rPr>
                <w:rFonts w:ascii="Arial" w:hAnsi="Arial" w:cs="Arial"/>
                <w:b/>
                <w:bCs/>
                <w:color w:val="000000"/>
                <w:sz w:val="20"/>
                <w:szCs w:val="20"/>
                <w:lang w:eastAsia="en-NZ"/>
              </w:rPr>
              <w:t>Notes on the above data:</w:t>
            </w:r>
          </w:p>
        </w:tc>
        <w:tc>
          <w:tcPr>
            <w:tcW w:w="5670" w:type="dxa"/>
            <w:gridSpan w:val="5"/>
            <w:tcBorders>
              <w:top w:val="single" w:sz="2" w:space="0" w:color="000000"/>
              <w:left w:val="nil"/>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jc w:val="right"/>
              <w:rPr>
                <w:rFonts w:ascii="Arial" w:hAnsi="Arial" w:cs="Arial"/>
                <w:color w:val="000000"/>
                <w:sz w:val="20"/>
                <w:szCs w:val="20"/>
                <w:lang w:eastAsia="en-NZ"/>
              </w:rPr>
            </w:pPr>
          </w:p>
        </w:tc>
      </w:tr>
      <w:tr w:rsidR="00F25658" w:rsidRPr="002D425E" w:rsidTr="00216B02">
        <w:trPr>
          <w:trHeight w:val="739"/>
        </w:trPr>
        <w:tc>
          <w:tcPr>
            <w:tcW w:w="9528" w:type="dxa"/>
            <w:gridSpan w:val="7"/>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ascii="Arial" w:hAnsi="Arial" w:cs="Arial"/>
                <w:color w:val="000000"/>
                <w:sz w:val="20"/>
                <w:szCs w:val="20"/>
                <w:lang w:eastAsia="en-NZ"/>
              </w:rPr>
            </w:pPr>
            <w:r w:rsidRPr="002D425E">
              <w:rPr>
                <w:rFonts w:ascii="Arial" w:hAnsi="Arial" w:cs="Arial"/>
                <w:color w:val="000000"/>
                <w:sz w:val="20"/>
                <w:szCs w:val="20"/>
                <w:lang w:eastAsia="en-NZ"/>
              </w:rPr>
              <w:t>1. The information included in the above table is based on the monthly property value index. This index is calculated based on the sales data entered into PropertyIQ's system in the previous 3 month period. For example, information for the period ending June will be calculated based on sales entered between April 1 and June 30.</w:t>
            </w:r>
          </w:p>
        </w:tc>
      </w:tr>
      <w:tr w:rsidR="00F25658" w:rsidRPr="002D425E" w:rsidTr="00216B02">
        <w:trPr>
          <w:trHeight w:val="535"/>
        </w:trPr>
        <w:tc>
          <w:tcPr>
            <w:tcW w:w="9528" w:type="dxa"/>
            <w:gridSpan w:val="7"/>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ascii="Arial" w:hAnsi="Arial" w:cs="Arial"/>
                <w:color w:val="000000"/>
                <w:sz w:val="20"/>
                <w:szCs w:val="20"/>
                <w:lang w:eastAsia="en-NZ"/>
              </w:rPr>
            </w:pPr>
            <w:r w:rsidRPr="002D425E">
              <w:rPr>
                <w:rFonts w:ascii="Arial" w:hAnsi="Arial" w:cs="Arial"/>
                <w:color w:val="000000"/>
                <w:sz w:val="20"/>
                <w:szCs w:val="20"/>
                <w:lang w:eastAsia="en-NZ"/>
              </w:rPr>
              <w:t>2. The average current value is the average (mean) value of all developed residential properties in the area based on the latest index. It is not an average or median sales price, as both of those only measure what happens to have sold in the period.</w:t>
            </w:r>
          </w:p>
        </w:tc>
      </w:tr>
      <w:tr w:rsidR="00F25658" w:rsidRPr="002D425E" w:rsidTr="00216B02">
        <w:trPr>
          <w:trHeight w:val="535"/>
        </w:trPr>
        <w:tc>
          <w:tcPr>
            <w:tcW w:w="9528" w:type="dxa"/>
            <w:gridSpan w:val="7"/>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ascii="Arial" w:hAnsi="Arial" w:cs="Arial"/>
                <w:color w:val="000000"/>
                <w:sz w:val="20"/>
                <w:szCs w:val="20"/>
                <w:lang w:eastAsia="en-NZ"/>
              </w:rPr>
            </w:pPr>
            <w:r w:rsidRPr="002D425E">
              <w:rPr>
                <w:rFonts w:ascii="Arial" w:hAnsi="Arial" w:cs="Arial"/>
                <w:color w:val="000000"/>
                <w:sz w:val="20"/>
                <w:szCs w:val="20"/>
                <w:lang w:eastAsia="en-NZ"/>
              </w:rPr>
              <w:t>3.  The percentage change over three months, twelve months and since the 2007 market peak are based on the change in the property value index between that time and the current.</w:t>
            </w:r>
          </w:p>
        </w:tc>
      </w:tr>
      <w:tr w:rsidR="00F25658" w:rsidRPr="002D425E" w:rsidTr="00216B02">
        <w:trPr>
          <w:trHeight w:val="552"/>
        </w:trPr>
        <w:tc>
          <w:tcPr>
            <w:tcW w:w="9528" w:type="dxa"/>
            <w:gridSpan w:val="7"/>
            <w:tcBorders>
              <w:top w:val="single" w:sz="2" w:space="0" w:color="000000"/>
              <w:left w:val="single" w:sz="2" w:space="0" w:color="000000"/>
              <w:bottom w:val="single" w:sz="2" w:space="0" w:color="000000"/>
              <w:right w:val="single" w:sz="2" w:space="0" w:color="000000"/>
            </w:tcBorders>
          </w:tcPr>
          <w:p w:rsidR="00F25658" w:rsidRPr="002D425E" w:rsidRDefault="00F25658" w:rsidP="002D425E">
            <w:pPr>
              <w:autoSpaceDE w:val="0"/>
              <w:autoSpaceDN w:val="0"/>
              <w:adjustRightInd w:val="0"/>
              <w:spacing w:after="0" w:line="240" w:lineRule="auto"/>
              <w:rPr>
                <w:rFonts w:ascii="Arial" w:hAnsi="Arial" w:cs="Arial"/>
                <w:color w:val="000000"/>
                <w:sz w:val="20"/>
                <w:szCs w:val="20"/>
                <w:lang w:eastAsia="en-NZ"/>
              </w:rPr>
            </w:pPr>
            <w:r w:rsidRPr="002D425E">
              <w:rPr>
                <w:rFonts w:ascii="Arial" w:hAnsi="Arial" w:cs="Arial"/>
                <w:color w:val="000000"/>
                <w:sz w:val="20"/>
                <w:szCs w:val="20"/>
                <w:lang w:eastAsia="en-NZ"/>
              </w:rPr>
              <w:t>4. Any of the statistical data shown in italics are calculated based on a sample set of data that is less than the recommended minimum. These results should be used with caution. Those showing N/A had too few sales to generate an index</w:t>
            </w:r>
          </w:p>
        </w:tc>
      </w:tr>
    </w:tbl>
    <w:p w:rsidR="00F25658" w:rsidRDefault="00F25658">
      <w:pPr>
        <w:spacing w:after="0" w:line="240" w:lineRule="auto"/>
      </w:pPr>
    </w:p>
    <w:p w:rsidR="00F25658" w:rsidRDefault="00F25658">
      <w:pPr>
        <w:spacing w:after="0" w:line="240" w:lineRule="auto"/>
        <w:sectPr w:rsidR="00F25658">
          <w:pgSz w:w="11906" w:h="16838"/>
          <w:pgMar w:top="1440" w:right="1440" w:bottom="1440" w:left="1440" w:header="709" w:footer="709" w:gutter="0"/>
          <w:cols w:space="708"/>
          <w:docGrid w:linePitch="360"/>
        </w:sectPr>
      </w:pPr>
    </w:p>
    <w:p w:rsidR="00F25658" w:rsidRDefault="00F25658">
      <w:pPr>
        <w:spacing w:after="0" w:line="240" w:lineRule="auto"/>
      </w:pPr>
      <w:r>
        <w:rPr>
          <w:noProof/>
          <w:lang w:val="en-US" w:eastAsia="zh-CN"/>
        </w:rPr>
        <w:pict>
          <v:shape id="Picture 3" o:spid="_x0000_s1026" type="#_x0000_t75" style="position:absolute;margin-left:329.25pt;margin-top:-7.5pt;width:250.15pt;height:226.5pt;z-index:-251660288;visibility:visible" wrapcoords="-65 0 -65 21528 21600 21528 21600 0 -65 0">
            <v:imagedata r:id="rId7" o:title=""/>
            <w10:wrap type="tight"/>
          </v:shape>
        </w:pict>
      </w:r>
      <w:r>
        <w:rPr>
          <w:noProof/>
          <w:lang w:val="en-US" w:eastAsia="zh-CN"/>
        </w:rPr>
        <w:pict>
          <v:shape id="Picture 2" o:spid="_x0000_s1027" type="#_x0000_t75" style="position:absolute;margin-left:1.5pt;margin-top:0;width:250.15pt;height:226.5pt;z-index:-251661312;visibility:visible" wrapcoords="-65 0 -65 21528 21600 21528 21600 0 -65 0">
            <v:imagedata r:id="rId8" o:title=""/>
            <w10:wrap type="tight"/>
          </v:shape>
        </w:pict>
      </w:r>
    </w:p>
    <w:p w:rsidR="00F25658" w:rsidRDefault="00F25658" w:rsidP="00092AE6">
      <w:pPr>
        <w:spacing w:after="0"/>
      </w:pPr>
    </w:p>
    <w:p w:rsidR="00F25658" w:rsidRDefault="00F25658">
      <w:pPr>
        <w:spacing w:after="0" w:line="240" w:lineRule="auto"/>
      </w:pPr>
    </w:p>
    <w:p w:rsidR="00F25658" w:rsidRDefault="00F25658" w:rsidP="00092AE6">
      <w:pPr>
        <w:spacing w:after="0"/>
        <w:rPr>
          <w:noProof/>
          <w:lang w:eastAsia="en-NZ"/>
        </w:rPr>
      </w:pPr>
    </w:p>
    <w:p w:rsidR="00F25658" w:rsidRDefault="00F25658" w:rsidP="00092AE6">
      <w:pPr>
        <w:spacing w:after="0"/>
        <w:rPr>
          <w:noProof/>
          <w:lang w:eastAsia="en-NZ"/>
        </w:rPr>
      </w:pPr>
    </w:p>
    <w:p w:rsidR="00F25658" w:rsidRDefault="00F25658" w:rsidP="00092AE6">
      <w:pPr>
        <w:spacing w:after="0"/>
      </w:pPr>
    </w:p>
    <w:p w:rsidR="00F25658" w:rsidRDefault="00F25658">
      <w:pPr>
        <w:spacing w:after="0" w:line="240" w:lineRule="auto"/>
      </w:pPr>
    </w:p>
    <w:p w:rsidR="00F25658" w:rsidRDefault="00F25658">
      <w:pPr>
        <w:spacing w:after="0" w:line="240" w:lineRule="auto"/>
      </w:pPr>
    </w:p>
    <w:p w:rsidR="00F25658" w:rsidRDefault="00F25658">
      <w:pPr>
        <w:spacing w:after="0" w:line="240" w:lineRule="auto"/>
      </w:pPr>
      <w:r>
        <w:rPr>
          <w:noProof/>
          <w:lang w:val="en-US" w:eastAsia="zh-CN"/>
        </w:rPr>
        <w:pict>
          <v:shape id="Picture 4" o:spid="_x0000_s1028" type="#_x0000_t75" style="position:absolute;margin-left:-259.4pt;margin-top:117.75pt;width:250.1pt;height:226.5pt;z-index:-251659264;visibility:visible" wrapcoords="-65 0 -65 21528 21600 21528 21600 0 -65 0">
            <v:imagedata r:id="rId9" o:title=""/>
            <w10:wrap type="tight"/>
          </v:shape>
        </w:pict>
      </w:r>
      <w:r>
        <w:rPr>
          <w:noProof/>
          <w:lang w:val="en-US" w:eastAsia="zh-CN"/>
        </w:rPr>
        <w:pict>
          <v:shape id="Picture 5" o:spid="_x0000_s1029" type="#_x0000_t75" style="position:absolute;margin-left:57.05pt;margin-top:111pt;width:250.1pt;height:226.5pt;z-index:-251658240;visibility:visible" wrapcoords="-65 0 -65 21528 21600 21528 21600 0 -65 0">
            <v:imagedata r:id="rId10" o:title=""/>
            <w10:wrap type="tight"/>
          </v:shape>
        </w:pict>
      </w:r>
      <w:r>
        <w:br w:type="page"/>
      </w:r>
    </w:p>
    <w:p w:rsidR="00F25658" w:rsidRDefault="00F25658" w:rsidP="00092AE6">
      <w:pPr>
        <w:spacing w:after="0"/>
      </w:pPr>
      <w:r>
        <w:rPr>
          <w:noProof/>
          <w:lang w:val="en-US" w:eastAsia="zh-CN"/>
        </w:rPr>
        <w:pict>
          <v:shape id="Picture 7" o:spid="_x0000_s1030" type="#_x0000_t75" style="position:absolute;margin-left:262.5pt;margin-top:0;width:249.6pt;height:226.75pt;z-index:-251656192;visibility:visible" wrapcoords="-65 0 -65 21528 21600 21528 21600 0 -65 0">
            <v:imagedata r:id="rId11" o:title=""/>
            <w10:wrap type="tight"/>
          </v:shape>
        </w:pict>
      </w:r>
      <w:r>
        <w:rPr>
          <w:noProof/>
          <w:lang w:val="en-US" w:eastAsia="zh-CN"/>
        </w:rPr>
        <w:pict>
          <v:shape id="Picture 6" o:spid="_x0000_s1031" type="#_x0000_t75" style="position:absolute;margin-left:1.5pt;margin-top:0;width:250.15pt;height:226.5pt;z-index:-251657216;visibility:visible" wrapcoords="-65 0 -65 21528 21600 21528 21600 0 -65 0">
            <v:imagedata r:id="rId12" o:title=""/>
            <w10:wrap type="tight"/>
          </v:shape>
        </w:pict>
      </w:r>
    </w:p>
    <w:p w:rsidR="00F25658" w:rsidRDefault="00F25658" w:rsidP="00092AE6">
      <w:pPr>
        <w:spacing w:after="0"/>
      </w:pPr>
    </w:p>
    <w:sectPr w:rsidR="00F25658" w:rsidSect="00D6273C">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275"/>
    <w:multiLevelType w:val="hybridMultilevel"/>
    <w:tmpl w:val="CD4092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B614164"/>
    <w:multiLevelType w:val="hybridMultilevel"/>
    <w:tmpl w:val="A8AC4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90F29E6"/>
    <w:multiLevelType w:val="hybridMultilevel"/>
    <w:tmpl w:val="3CBC87D2"/>
    <w:lvl w:ilvl="0" w:tplc="74D46CDC">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4221"/>
    <w:rsid w:val="00005B6D"/>
    <w:rsid w:val="00007F9D"/>
    <w:rsid w:val="00014DD5"/>
    <w:rsid w:val="00016FEE"/>
    <w:rsid w:val="00027B27"/>
    <w:rsid w:val="00031B27"/>
    <w:rsid w:val="00035914"/>
    <w:rsid w:val="0003737F"/>
    <w:rsid w:val="00045F58"/>
    <w:rsid w:val="000507BC"/>
    <w:rsid w:val="000534A3"/>
    <w:rsid w:val="0006250A"/>
    <w:rsid w:val="00066E0D"/>
    <w:rsid w:val="00073A93"/>
    <w:rsid w:val="00075034"/>
    <w:rsid w:val="00080607"/>
    <w:rsid w:val="00081156"/>
    <w:rsid w:val="00086027"/>
    <w:rsid w:val="00092518"/>
    <w:rsid w:val="00092AE6"/>
    <w:rsid w:val="00094231"/>
    <w:rsid w:val="0009757A"/>
    <w:rsid w:val="000A697D"/>
    <w:rsid w:val="000A774B"/>
    <w:rsid w:val="000B372C"/>
    <w:rsid w:val="000B6462"/>
    <w:rsid w:val="000B65FC"/>
    <w:rsid w:val="000C4DDD"/>
    <w:rsid w:val="000D3918"/>
    <w:rsid w:val="000D740D"/>
    <w:rsid w:val="000E1532"/>
    <w:rsid w:val="000F5CCC"/>
    <w:rsid w:val="000F7C0F"/>
    <w:rsid w:val="000F7CC2"/>
    <w:rsid w:val="00110B5C"/>
    <w:rsid w:val="00111B71"/>
    <w:rsid w:val="001178B0"/>
    <w:rsid w:val="00123D98"/>
    <w:rsid w:val="00126A59"/>
    <w:rsid w:val="00127352"/>
    <w:rsid w:val="001345C7"/>
    <w:rsid w:val="0014530B"/>
    <w:rsid w:val="001474AC"/>
    <w:rsid w:val="0015052C"/>
    <w:rsid w:val="0015280A"/>
    <w:rsid w:val="00153884"/>
    <w:rsid w:val="00153CFC"/>
    <w:rsid w:val="001558BE"/>
    <w:rsid w:val="00156402"/>
    <w:rsid w:val="00164BA6"/>
    <w:rsid w:val="00165BE1"/>
    <w:rsid w:val="001671E8"/>
    <w:rsid w:val="00184A70"/>
    <w:rsid w:val="00193B66"/>
    <w:rsid w:val="001959EB"/>
    <w:rsid w:val="001A0DCD"/>
    <w:rsid w:val="001A0FFB"/>
    <w:rsid w:val="001A2CC2"/>
    <w:rsid w:val="001A4C46"/>
    <w:rsid w:val="001B6C3F"/>
    <w:rsid w:val="001B7F73"/>
    <w:rsid w:val="001C1153"/>
    <w:rsid w:val="001C61CF"/>
    <w:rsid w:val="001D1BE5"/>
    <w:rsid w:val="001D7DFF"/>
    <w:rsid w:val="001E5F70"/>
    <w:rsid w:val="001F6A79"/>
    <w:rsid w:val="00207AF3"/>
    <w:rsid w:val="002111DB"/>
    <w:rsid w:val="00211995"/>
    <w:rsid w:val="00216B02"/>
    <w:rsid w:val="00221616"/>
    <w:rsid w:val="00232259"/>
    <w:rsid w:val="002343C8"/>
    <w:rsid w:val="002407E0"/>
    <w:rsid w:val="00241704"/>
    <w:rsid w:val="002421F6"/>
    <w:rsid w:val="0024384A"/>
    <w:rsid w:val="0024480B"/>
    <w:rsid w:val="00244D66"/>
    <w:rsid w:val="00244F68"/>
    <w:rsid w:val="00245F3B"/>
    <w:rsid w:val="00247066"/>
    <w:rsid w:val="00250FB8"/>
    <w:rsid w:val="002529BF"/>
    <w:rsid w:val="00266E33"/>
    <w:rsid w:val="00272502"/>
    <w:rsid w:val="00273AB1"/>
    <w:rsid w:val="00274A2D"/>
    <w:rsid w:val="00282980"/>
    <w:rsid w:val="002850D4"/>
    <w:rsid w:val="002B74E3"/>
    <w:rsid w:val="002C0CCC"/>
    <w:rsid w:val="002D0ADB"/>
    <w:rsid w:val="002D4221"/>
    <w:rsid w:val="002D425E"/>
    <w:rsid w:val="002E4391"/>
    <w:rsid w:val="002F43C8"/>
    <w:rsid w:val="002F4897"/>
    <w:rsid w:val="00301B94"/>
    <w:rsid w:val="00302D14"/>
    <w:rsid w:val="00305626"/>
    <w:rsid w:val="003131DE"/>
    <w:rsid w:val="00314E4B"/>
    <w:rsid w:val="00315988"/>
    <w:rsid w:val="00316F9D"/>
    <w:rsid w:val="0031790E"/>
    <w:rsid w:val="00320C14"/>
    <w:rsid w:val="00320ECB"/>
    <w:rsid w:val="00322F1F"/>
    <w:rsid w:val="00325B01"/>
    <w:rsid w:val="003263DD"/>
    <w:rsid w:val="00327D1C"/>
    <w:rsid w:val="003312E7"/>
    <w:rsid w:val="00331715"/>
    <w:rsid w:val="00336F39"/>
    <w:rsid w:val="00351654"/>
    <w:rsid w:val="0035196E"/>
    <w:rsid w:val="00351B45"/>
    <w:rsid w:val="00354F07"/>
    <w:rsid w:val="00356AB1"/>
    <w:rsid w:val="003575A5"/>
    <w:rsid w:val="00357E9B"/>
    <w:rsid w:val="00361DB6"/>
    <w:rsid w:val="0037740C"/>
    <w:rsid w:val="0039380B"/>
    <w:rsid w:val="00394B8B"/>
    <w:rsid w:val="00395115"/>
    <w:rsid w:val="003958FE"/>
    <w:rsid w:val="00397C97"/>
    <w:rsid w:val="003A08AB"/>
    <w:rsid w:val="003A5E90"/>
    <w:rsid w:val="003A7E5E"/>
    <w:rsid w:val="003B0448"/>
    <w:rsid w:val="003B26B2"/>
    <w:rsid w:val="003B378C"/>
    <w:rsid w:val="003C1418"/>
    <w:rsid w:val="003C4A77"/>
    <w:rsid w:val="003C5492"/>
    <w:rsid w:val="003D2095"/>
    <w:rsid w:val="003D7BE5"/>
    <w:rsid w:val="003E00DB"/>
    <w:rsid w:val="003E4A7A"/>
    <w:rsid w:val="003E6E33"/>
    <w:rsid w:val="003F766D"/>
    <w:rsid w:val="0040011C"/>
    <w:rsid w:val="004007F2"/>
    <w:rsid w:val="00407F3C"/>
    <w:rsid w:val="004112FE"/>
    <w:rsid w:val="00414FF3"/>
    <w:rsid w:val="00426631"/>
    <w:rsid w:val="00426E65"/>
    <w:rsid w:val="00442230"/>
    <w:rsid w:val="00446931"/>
    <w:rsid w:val="004526D2"/>
    <w:rsid w:val="004539F9"/>
    <w:rsid w:val="00464E22"/>
    <w:rsid w:val="004723E7"/>
    <w:rsid w:val="00477D89"/>
    <w:rsid w:val="00481070"/>
    <w:rsid w:val="00481934"/>
    <w:rsid w:val="00490CE8"/>
    <w:rsid w:val="004A20AF"/>
    <w:rsid w:val="004A4770"/>
    <w:rsid w:val="004A51A4"/>
    <w:rsid w:val="004A7827"/>
    <w:rsid w:val="004B1479"/>
    <w:rsid w:val="004B1992"/>
    <w:rsid w:val="004B58C9"/>
    <w:rsid w:val="004B6924"/>
    <w:rsid w:val="004C22D0"/>
    <w:rsid w:val="004C2BD5"/>
    <w:rsid w:val="004C3C75"/>
    <w:rsid w:val="004D104E"/>
    <w:rsid w:val="004D57C7"/>
    <w:rsid w:val="004E1630"/>
    <w:rsid w:val="004E24FA"/>
    <w:rsid w:val="004F2318"/>
    <w:rsid w:val="00500E76"/>
    <w:rsid w:val="00503E39"/>
    <w:rsid w:val="0050647C"/>
    <w:rsid w:val="005064DA"/>
    <w:rsid w:val="00507728"/>
    <w:rsid w:val="00512A93"/>
    <w:rsid w:val="00512FEB"/>
    <w:rsid w:val="005142EA"/>
    <w:rsid w:val="00521D45"/>
    <w:rsid w:val="00526638"/>
    <w:rsid w:val="00531BDC"/>
    <w:rsid w:val="005350E8"/>
    <w:rsid w:val="005376EA"/>
    <w:rsid w:val="00545336"/>
    <w:rsid w:val="00545C25"/>
    <w:rsid w:val="0056099F"/>
    <w:rsid w:val="00560D87"/>
    <w:rsid w:val="00561AC3"/>
    <w:rsid w:val="00562F82"/>
    <w:rsid w:val="00566A54"/>
    <w:rsid w:val="00573D9E"/>
    <w:rsid w:val="00577483"/>
    <w:rsid w:val="00595EBA"/>
    <w:rsid w:val="005B05EB"/>
    <w:rsid w:val="005B166B"/>
    <w:rsid w:val="005C23EC"/>
    <w:rsid w:val="005F4535"/>
    <w:rsid w:val="006000E3"/>
    <w:rsid w:val="0060353F"/>
    <w:rsid w:val="00606C3B"/>
    <w:rsid w:val="00620411"/>
    <w:rsid w:val="00620BAD"/>
    <w:rsid w:val="0062496E"/>
    <w:rsid w:val="00630158"/>
    <w:rsid w:val="00631B7D"/>
    <w:rsid w:val="006323EA"/>
    <w:rsid w:val="00634650"/>
    <w:rsid w:val="006358BB"/>
    <w:rsid w:val="00635E7C"/>
    <w:rsid w:val="00637A97"/>
    <w:rsid w:val="0064007A"/>
    <w:rsid w:val="006405D0"/>
    <w:rsid w:val="00646270"/>
    <w:rsid w:val="006544E3"/>
    <w:rsid w:val="00655F4B"/>
    <w:rsid w:val="00657E93"/>
    <w:rsid w:val="00661A7D"/>
    <w:rsid w:val="0066623E"/>
    <w:rsid w:val="006671D1"/>
    <w:rsid w:val="0067015E"/>
    <w:rsid w:val="006711A3"/>
    <w:rsid w:val="00681235"/>
    <w:rsid w:val="00682CA1"/>
    <w:rsid w:val="00684A2B"/>
    <w:rsid w:val="006850DB"/>
    <w:rsid w:val="00690F4E"/>
    <w:rsid w:val="0069176E"/>
    <w:rsid w:val="006C0F63"/>
    <w:rsid w:val="006C21AE"/>
    <w:rsid w:val="006C6DAA"/>
    <w:rsid w:val="006D09A7"/>
    <w:rsid w:val="006E04CF"/>
    <w:rsid w:val="006F321D"/>
    <w:rsid w:val="006F750D"/>
    <w:rsid w:val="007001D3"/>
    <w:rsid w:val="00700352"/>
    <w:rsid w:val="00703969"/>
    <w:rsid w:val="007048B0"/>
    <w:rsid w:val="00705656"/>
    <w:rsid w:val="00705DB7"/>
    <w:rsid w:val="00707D9D"/>
    <w:rsid w:val="007114B8"/>
    <w:rsid w:val="00724E81"/>
    <w:rsid w:val="00731222"/>
    <w:rsid w:val="007353D1"/>
    <w:rsid w:val="0073704E"/>
    <w:rsid w:val="00741CCB"/>
    <w:rsid w:val="00741D2F"/>
    <w:rsid w:val="00751917"/>
    <w:rsid w:val="00752A0C"/>
    <w:rsid w:val="00752A91"/>
    <w:rsid w:val="007537D5"/>
    <w:rsid w:val="0075497E"/>
    <w:rsid w:val="007718D7"/>
    <w:rsid w:val="00773C02"/>
    <w:rsid w:val="00776015"/>
    <w:rsid w:val="00784973"/>
    <w:rsid w:val="00795D35"/>
    <w:rsid w:val="007B1E2D"/>
    <w:rsid w:val="007B4976"/>
    <w:rsid w:val="007C1881"/>
    <w:rsid w:val="007C2FA4"/>
    <w:rsid w:val="007C3155"/>
    <w:rsid w:val="007C6863"/>
    <w:rsid w:val="007D3480"/>
    <w:rsid w:val="007D38F5"/>
    <w:rsid w:val="007D5677"/>
    <w:rsid w:val="007D6FD0"/>
    <w:rsid w:val="007E3E4E"/>
    <w:rsid w:val="007F044B"/>
    <w:rsid w:val="007F36B4"/>
    <w:rsid w:val="007F4339"/>
    <w:rsid w:val="007F4CEE"/>
    <w:rsid w:val="007F7D9C"/>
    <w:rsid w:val="008011CE"/>
    <w:rsid w:val="008014C4"/>
    <w:rsid w:val="00806C29"/>
    <w:rsid w:val="00821BB7"/>
    <w:rsid w:val="00827C1E"/>
    <w:rsid w:val="00831F25"/>
    <w:rsid w:val="00841D33"/>
    <w:rsid w:val="00847121"/>
    <w:rsid w:val="00850575"/>
    <w:rsid w:val="00864F63"/>
    <w:rsid w:val="0087327B"/>
    <w:rsid w:val="00877CB9"/>
    <w:rsid w:val="00885646"/>
    <w:rsid w:val="0088688B"/>
    <w:rsid w:val="0089477D"/>
    <w:rsid w:val="00897A49"/>
    <w:rsid w:val="008B0291"/>
    <w:rsid w:val="008B0C31"/>
    <w:rsid w:val="008C0C0F"/>
    <w:rsid w:val="008C3AA7"/>
    <w:rsid w:val="008C5625"/>
    <w:rsid w:val="008C6DD1"/>
    <w:rsid w:val="008D3855"/>
    <w:rsid w:val="008D65E7"/>
    <w:rsid w:val="008D78F4"/>
    <w:rsid w:val="008E0837"/>
    <w:rsid w:val="008E0BCB"/>
    <w:rsid w:val="008E6975"/>
    <w:rsid w:val="008F0D15"/>
    <w:rsid w:val="008F52BF"/>
    <w:rsid w:val="008F7E0F"/>
    <w:rsid w:val="0091096D"/>
    <w:rsid w:val="009109C3"/>
    <w:rsid w:val="00910B79"/>
    <w:rsid w:val="00911A02"/>
    <w:rsid w:val="00911BAD"/>
    <w:rsid w:val="009145AE"/>
    <w:rsid w:val="009337ED"/>
    <w:rsid w:val="00936E35"/>
    <w:rsid w:val="00937512"/>
    <w:rsid w:val="0093754B"/>
    <w:rsid w:val="00947C93"/>
    <w:rsid w:val="009644B2"/>
    <w:rsid w:val="0097219F"/>
    <w:rsid w:val="00976A18"/>
    <w:rsid w:val="00980C60"/>
    <w:rsid w:val="00984A4E"/>
    <w:rsid w:val="00996F72"/>
    <w:rsid w:val="00997117"/>
    <w:rsid w:val="009A0AD3"/>
    <w:rsid w:val="009A39FB"/>
    <w:rsid w:val="009A44D3"/>
    <w:rsid w:val="009B1626"/>
    <w:rsid w:val="009B406D"/>
    <w:rsid w:val="009E1E4A"/>
    <w:rsid w:val="00A131EE"/>
    <w:rsid w:val="00A15ED8"/>
    <w:rsid w:val="00A2014D"/>
    <w:rsid w:val="00A211EE"/>
    <w:rsid w:val="00A251CB"/>
    <w:rsid w:val="00A268C2"/>
    <w:rsid w:val="00A32A0B"/>
    <w:rsid w:val="00A32D95"/>
    <w:rsid w:val="00A348F9"/>
    <w:rsid w:val="00A36E6D"/>
    <w:rsid w:val="00A37AD6"/>
    <w:rsid w:val="00A47C11"/>
    <w:rsid w:val="00A50583"/>
    <w:rsid w:val="00A51A55"/>
    <w:rsid w:val="00A527B2"/>
    <w:rsid w:val="00A52C55"/>
    <w:rsid w:val="00A704FE"/>
    <w:rsid w:val="00A90295"/>
    <w:rsid w:val="00A9144E"/>
    <w:rsid w:val="00A938D4"/>
    <w:rsid w:val="00A959B5"/>
    <w:rsid w:val="00AA57C3"/>
    <w:rsid w:val="00AB0491"/>
    <w:rsid w:val="00AB7684"/>
    <w:rsid w:val="00AC2608"/>
    <w:rsid w:val="00AC2865"/>
    <w:rsid w:val="00AC2980"/>
    <w:rsid w:val="00AD04D6"/>
    <w:rsid w:val="00AD4CD4"/>
    <w:rsid w:val="00AF361D"/>
    <w:rsid w:val="00B00048"/>
    <w:rsid w:val="00B048F2"/>
    <w:rsid w:val="00B079C9"/>
    <w:rsid w:val="00B11C1D"/>
    <w:rsid w:val="00B20736"/>
    <w:rsid w:val="00B222E6"/>
    <w:rsid w:val="00B31928"/>
    <w:rsid w:val="00B32471"/>
    <w:rsid w:val="00B3267D"/>
    <w:rsid w:val="00B326F3"/>
    <w:rsid w:val="00B33060"/>
    <w:rsid w:val="00B35F86"/>
    <w:rsid w:val="00B362B7"/>
    <w:rsid w:val="00B3646E"/>
    <w:rsid w:val="00B40D58"/>
    <w:rsid w:val="00B41088"/>
    <w:rsid w:val="00B46A36"/>
    <w:rsid w:val="00B532FF"/>
    <w:rsid w:val="00B54111"/>
    <w:rsid w:val="00B550EC"/>
    <w:rsid w:val="00B55772"/>
    <w:rsid w:val="00B60E5D"/>
    <w:rsid w:val="00B65841"/>
    <w:rsid w:val="00B74F91"/>
    <w:rsid w:val="00B82B52"/>
    <w:rsid w:val="00B9065E"/>
    <w:rsid w:val="00B9580C"/>
    <w:rsid w:val="00B96B6C"/>
    <w:rsid w:val="00BA186F"/>
    <w:rsid w:val="00BA1C3E"/>
    <w:rsid w:val="00BB5768"/>
    <w:rsid w:val="00BC3E4C"/>
    <w:rsid w:val="00BC514D"/>
    <w:rsid w:val="00BC5B66"/>
    <w:rsid w:val="00BD111E"/>
    <w:rsid w:val="00BD384D"/>
    <w:rsid w:val="00BE07AD"/>
    <w:rsid w:val="00BF0047"/>
    <w:rsid w:val="00C0367C"/>
    <w:rsid w:val="00C160A0"/>
    <w:rsid w:val="00C2479A"/>
    <w:rsid w:val="00C3603F"/>
    <w:rsid w:val="00C3622A"/>
    <w:rsid w:val="00C400C5"/>
    <w:rsid w:val="00C40111"/>
    <w:rsid w:val="00C50DFC"/>
    <w:rsid w:val="00C517CD"/>
    <w:rsid w:val="00C51E28"/>
    <w:rsid w:val="00C53BBF"/>
    <w:rsid w:val="00C541D4"/>
    <w:rsid w:val="00C57EF2"/>
    <w:rsid w:val="00C64BD2"/>
    <w:rsid w:val="00C72E0B"/>
    <w:rsid w:val="00C73F61"/>
    <w:rsid w:val="00C756B2"/>
    <w:rsid w:val="00C77B85"/>
    <w:rsid w:val="00C804DF"/>
    <w:rsid w:val="00C805AA"/>
    <w:rsid w:val="00C8211A"/>
    <w:rsid w:val="00C82F35"/>
    <w:rsid w:val="00C82FDD"/>
    <w:rsid w:val="00C83B54"/>
    <w:rsid w:val="00C942E3"/>
    <w:rsid w:val="00CA0FB8"/>
    <w:rsid w:val="00CA6FF8"/>
    <w:rsid w:val="00CB210F"/>
    <w:rsid w:val="00CB4ADF"/>
    <w:rsid w:val="00CC0DF1"/>
    <w:rsid w:val="00CC1462"/>
    <w:rsid w:val="00CC45E1"/>
    <w:rsid w:val="00CC5619"/>
    <w:rsid w:val="00CD1094"/>
    <w:rsid w:val="00CD114A"/>
    <w:rsid w:val="00CD62BB"/>
    <w:rsid w:val="00CE7470"/>
    <w:rsid w:val="00CE77DA"/>
    <w:rsid w:val="00CF0BA1"/>
    <w:rsid w:val="00CF46D2"/>
    <w:rsid w:val="00D0225A"/>
    <w:rsid w:val="00D06509"/>
    <w:rsid w:val="00D07347"/>
    <w:rsid w:val="00D07936"/>
    <w:rsid w:val="00D108BC"/>
    <w:rsid w:val="00D11FC4"/>
    <w:rsid w:val="00D1214C"/>
    <w:rsid w:val="00D124E0"/>
    <w:rsid w:val="00D15ACA"/>
    <w:rsid w:val="00D202AE"/>
    <w:rsid w:val="00D25B1D"/>
    <w:rsid w:val="00D26D8B"/>
    <w:rsid w:val="00D32A2C"/>
    <w:rsid w:val="00D35918"/>
    <w:rsid w:val="00D41CF5"/>
    <w:rsid w:val="00D50A26"/>
    <w:rsid w:val="00D57B73"/>
    <w:rsid w:val="00D6273C"/>
    <w:rsid w:val="00D72259"/>
    <w:rsid w:val="00D74D5E"/>
    <w:rsid w:val="00D77589"/>
    <w:rsid w:val="00D835D5"/>
    <w:rsid w:val="00D83C6F"/>
    <w:rsid w:val="00D84527"/>
    <w:rsid w:val="00D85868"/>
    <w:rsid w:val="00D9639A"/>
    <w:rsid w:val="00D979C6"/>
    <w:rsid w:val="00D97B7C"/>
    <w:rsid w:val="00DA0E85"/>
    <w:rsid w:val="00DB0CD5"/>
    <w:rsid w:val="00DB1524"/>
    <w:rsid w:val="00DB3C9D"/>
    <w:rsid w:val="00DB74C6"/>
    <w:rsid w:val="00DC13A6"/>
    <w:rsid w:val="00DC3F36"/>
    <w:rsid w:val="00DC553E"/>
    <w:rsid w:val="00DC5B32"/>
    <w:rsid w:val="00DD1E3D"/>
    <w:rsid w:val="00DD34E0"/>
    <w:rsid w:val="00DD7120"/>
    <w:rsid w:val="00DE053A"/>
    <w:rsid w:val="00DE59F6"/>
    <w:rsid w:val="00DE62EE"/>
    <w:rsid w:val="00E0004F"/>
    <w:rsid w:val="00E01226"/>
    <w:rsid w:val="00E029D5"/>
    <w:rsid w:val="00E03FCC"/>
    <w:rsid w:val="00E042AD"/>
    <w:rsid w:val="00E071CA"/>
    <w:rsid w:val="00E11329"/>
    <w:rsid w:val="00E22417"/>
    <w:rsid w:val="00E33334"/>
    <w:rsid w:val="00E42878"/>
    <w:rsid w:val="00E43BC6"/>
    <w:rsid w:val="00E47BF0"/>
    <w:rsid w:val="00E51DCD"/>
    <w:rsid w:val="00E64638"/>
    <w:rsid w:val="00E7406A"/>
    <w:rsid w:val="00E81447"/>
    <w:rsid w:val="00E92D22"/>
    <w:rsid w:val="00E96762"/>
    <w:rsid w:val="00EB0597"/>
    <w:rsid w:val="00EB4C88"/>
    <w:rsid w:val="00EC49EE"/>
    <w:rsid w:val="00EC49F7"/>
    <w:rsid w:val="00EC4AA1"/>
    <w:rsid w:val="00EC5115"/>
    <w:rsid w:val="00EC7473"/>
    <w:rsid w:val="00ED4AED"/>
    <w:rsid w:val="00EE19CD"/>
    <w:rsid w:val="00EE3230"/>
    <w:rsid w:val="00EE643B"/>
    <w:rsid w:val="00F018BF"/>
    <w:rsid w:val="00F061E1"/>
    <w:rsid w:val="00F12A21"/>
    <w:rsid w:val="00F139B5"/>
    <w:rsid w:val="00F14A6B"/>
    <w:rsid w:val="00F21E1C"/>
    <w:rsid w:val="00F22BC2"/>
    <w:rsid w:val="00F2487F"/>
    <w:rsid w:val="00F248A3"/>
    <w:rsid w:val="00F25658"/>
    <w:rsid w:val="00F34034"/>
    <w:rsid w:val="00F401C7"/>
    <w:rsid w:val="00F4192C"/>
    <w:rsid w:val="00F50646"/>
    <w:rsid w:val="00F53C93"/>
    <w:rsid w:val="00F54540"/>
    <w:rsid w:val="00F57C27"/>
    <w:rsid w:val="00F71A76"/>
    <w:rsid w:val="00F82B17"/>
    <w:rsid w:val="00F84B8F"/>
    <w:rsid w:val="00F874A9"/>
    <w:rsid w:val="00F96B1E"/>
    <w:rsid w:val="00FA2CBB"/>
    <w:rsid w:val="00FA652E"/>
    <w:rsid w:val="00FB300D"/>
    <w:rsid w:val="00FB55D2"/>
    <w:rsid w:val="00FB6208"/>
    <w:rsid w:val="00FB784A"/>
    <w:rsid w:val="00FC4F34"/>
    <w:rsid w:val="00FD28B4"/>
    <w:rsid w:val="00FD5B9E"/>
    <w:rsid w:val="00FF48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D5"/>
    <w:pPr>
      <w:spacing w:after="200" w:line="276" w:lineRule="auto"/>
    </w:pPr>
    <w:rPr>
      <w:lang w:val="en-NZ" w:eastAsia="en-US"/>
    </w:rPr>
  </w:style>
  <w:style w:type="paragraph" w:styleId="Heading2">
    <w:name w:val="heading 2"/>
    <w:basedOn w:val="Normal"/>
    <w:next w:val="Normal"/>
    <w:link w:val="Heading2Char"/>
    <w:uiPriority w:val="99"/>
    <w:qFormat/>
    <w:rsid w:val="00C3622A"/>
    <w:pPr>
      <w:keepNext/>
      <w:spacing w:after="0" w:line="24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9"/>
    <w:qFormat/>
    <w:rsid w:val="00C3622A"/>
    <w:pPr>
      <w:keepNext/>
      <w:spacing w:after="0" w:line="240" w:lineRule="auto"/>
      <w:outlineLvl w:val="2"/>
    </w:pPr>
    <w:rPr>
      <w:rFonts w:ascii="Times New Roman" w:eastAsia="Times New Roman" w:hAnsi="Times New Roman"/>
      <w:b/>
      <w:b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3622A"/>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C3622A"/>
    <w:rPr>
      <w:rFonts w:ascii="Times New Roman" w:hAnsi="Times New Roman" w:cs="Times New Roman"/>
      <w:b/>
      <w:bCs/>
      <w:sz w:val="24"/>
      <w:szCs w:val="24"/>
    </w:rPr>
  </w:style>
  <w:style w:type="paragraph" w:styleId="BalloonText">
    <w:name w:val="Balloon Text"/>
    <w:basedOn w:val="Normal"/>
    <w:link w:val="BalloonTextChar"/>
    <w:uiPriority w:val="99"/>
    <w:semiHidden/>
    <w:rsid w:val="003A7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E5E"/>
    <w:rPr>
      <w:rFonts w:ascii="Tahoma" w:hAnsi="Tahoma" w:cs="Tahoma"/>
      <w:sz w:val="16"/>
      <w:szCs w:val="16"/>
    </w:rPr>
  </w:style>
  <w:style w:type="character" w:styleId="Hyperlink">
    <w:name w:val="Hyperlink"/>
    <w:basedOn w:val="DefaultParagraphFont"/>
    <w:uiPriority w:val="99"/>
    <w:rsid w:val="005142EA"/>
    <w:rPr>
      <w:rFonts w:cs="Times New Roman"/>
      <w:color w:val="0000FF"/>
      <w:u w:val="single"/>
    </w:rPr>
  </w:style>
  <w:style w:type="paragraph" w:styleId="NoSpacing">
    <w:name w:val="No Spacing"/>
    <w:uiPriority w:val="99"/>
    <w:qFormat/>
    <w:rsid w:val="005B166B"/>
    <w:rPr>
      <w:lang w:val="en-NZ" w:eastAsia="en-US"/>
    </w:rPr>
  </w:style>
  <w:style w:type="character" w:customStyle="1" w:styleId="apple-converted-space">
    <w:name w:val="apple-converted-space"/>
    <w:basedOn w:val="DefaultParagraphFont"/>
    <w:uiPriority w:val="99"/>
    <w:rsid w:val="00700352"/>
    <w:rPr>
      <w:rFonts w:cs="Times New Roman"/>
    </w:rPr>
  </w:style>
  <w:style w:type="character" w:styleId="CommentReference">
    <w:name w:val="annotation reference"/>
    <w:basedOn w:val="DefaultParagraphFont"/>
    <w:uiPriority w:val="99"/>
    <w:semiHidden/>
    <w:rsid w:val="003E6E33"/>
    <w:rPr>
      <w:rFonts w:cs="Times New Roman"/>
      <w:sz w:val="16"/>
      <w:szCs w:val="16"/>
    </w:rPr>
  </w:style>
  <w:style w:type="paragraph" w:styleId="CommentText">
    <w:name w:val="annotation text"/>
    <w:basedOn w:val="Normal"/>
    <w:link w:val="CommentTextChar"/>
    <w:uiPriority w:val="99"/>
    <w:semiHidden/>
    <w:rsid w:val="003E6E3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E6E3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3E6E33"/>
    <w:rPr>
      <w:b/>
      <w:bCs/>
    </w:rPr>
  </w:style>
  <w:style w:type="character" w:customStyle="1" w:styleId="CommentSubjectChar">
    <w:name w:val="Comment Subject Char"/>
    <w:basedOn w:val="CommentTextChar"/>
    <w:link w:val="CommentSubject"/>
    <w:uiPriority w:val="99"/>
    <w:semiHidden/>
    <w:locked/>
    <w:rsid w:val="003E6E33"/>
    <w:rPr>
      <w:b/>
      <w:bCs/>
    </w:rPr>
  </w:style>
  <w:style w:type="paragraph" w:styleId="NormalWeb">
    <w:name w:val="Normal (Web)"/>
    <w:basedOn w:val="Normal"/>
    <w:uiPriority w:val="99"/>
    <w:rsid w:val="0093754B"/>
    <w:pPr>
      <w:spacing w:before="100" w:beforeAutospacing="1" w:after="100" w:afterAutospacing="1" w:line="240" w:lineRule="auto"/>
    </w:pPr>
    <w:rPr>
      <w:rFonts w:ascii="Times New Roman" w:eastAsia="Times New Roman" w:hAnsi="Times New Roman"/>
      <w:sz w:val="24"/>
      <w:szCs w:val="24"/>
      <w:lang w:eastAsia="en-NZ"/>
    </w:rPr>
  </w:style>
</w:styles>
</file>

<file path=word/webSettings.xml><?xml version="1.0" encoding="utf-8"?>
<w:webSettings xmlns:r="http://schemas.openxmlformats.org/officeDocument/2006/relationships" xmlns:w="http://schemas.openxmlformats.org/wordprocessingml/2006/main">
  <w:divs>
    <w:div w:id="568998401">
      <w:marLeft w:val="0"/>
      <w:marRight w:val="0"/>
      <w:marTop w:val="0"/>
      <w:marBottom w:val="0"/>
      <w:divBdr>
        <w:top w:val="none" w:sz="0" w:space="0" w:color="auto"/>
        <w:left w:val="none" w:sz="0" w:space="0" w:color="auto"/>
        <w:bottom w:val="none" w:sz="0" w:space="0" w:color="auto"/>
        <w:right w:val="none" w:sz="0" w:space="0" w:color="auto"/>
      </w:divBdr>
    </w:div>
    <w:div w:id="568998402">
      <w:marLeft w:val="0"/>
      <w:marRight w:val="0"/>
      <w:marTop w:val="0"/>
      <w:marBottom w:val="0"/>
      <w:divBdr>
        <w:top w:val="none" w:sz="0" w:space="0" w:color="auto"/>
        <w:left w:val="none" w:sz="0" w:space="0" w:color="auto"/>
        <w:bottom w:val="none" w:sz="0" w:space="0" w:color="auto"/>
        <w:right w:val="none" w:sz="0" w:space="0" w:color="auto"/>
      </w:divBdr>
    </w:div>
    <w:div w:id="568998403">
      <w:marLeft w:val="0"/>
      <w:marRight w:val="0"/>
      <w:marTop w:val="0"/>
      <w:marBottom w:val="0"/>
      <w:divBdr>
        <w:top w:val="none" w:sz="0" w:space="0" w:color="auto"/>
        <w:left w:val="none" w:sz="0" w:space="0" w:color="auto"/>
        <w:bottom w:val="none" w:sz="0" w:space="0" w:color="auto"/>
        <w:right w:val="none" w:sz="0" w:space="0" w:color="auto"/>
      </w:divBdr>
    </w:div>
    <w:div w:id="568998404">
      <w:marLeft w:val="0"/>
      <w:marRight w:val="0"/>
      <w:marTop w:val="0"/>
      <w:marBottom w:val="0"/>
      <w:divBdr>
        <w:top w:val="none" w:sz="0" w:space="0" w:color="auto"/>
        <w:left w:val="none" w:sz="0" w:space="0" w:color="auto"/>
        <w:bottom w:val="none" w:sz="0" w:space="0" w:color="auto"/>
        <w:right w:val="none" w:sz="0" w:space="0" w:color="auto"/>
      </w:divBdr>
    </w:div>
    <w:div w:id="568998405">
      <w:marLeft w:val="0"/>
      <w:marRight w:val="0"/>
      <w:marTop w:val="0"/>
      <w:marBottom w:val="0"/>
      <w:divBdr>
        <w:top w:val="none" w:sz="0" w:space="0" w:color="auto"/>
        <w:left w:val="none" w:sz="0" w:space="0" w:color="auto"/>
        <w:bottom w:val="none" w:sz="0" w:space="0" w:color="auto"/>
        <w:right w:val="none" w:sz="0" w:space="0" w:color="auto"/>
      </w:divBdr>
    </w:div>
    <w:div w:id="568998406">
      <w:marLeft w:val="0"/>
      <w:marRight w:val="0"/>
      <w:marTop w:val="0"/>
      <w:marBottom w:val="0"/>
      <w:divBdr>
        <w:top w:val="none" w:sz="0" w:space="0" w:color="auto"/>
        <w:left w:val="none" w:sz="0" w:space="0" w:color="auto"/>
        <w:bottom w:val="none" w:sz="0" w:space="0" w:color="auto"/>
        <w:right w:val="none" w:sz="0" w:space="0" w:color="auto"/>
      </w:divBdr>
    </w:div>
    <w:div w:id="56899840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no.ingerson@propertyiq.co.nz" TargetMode="External"/><Relationship Id="rId11" Type="http://schemas.openxmlformats.org/officeDocument/2006/relationships/image" Target="media/image6.jpeg"/><Relationship Id="rId5" Type="http://schemas.openxmlformats.org/officeDocument/2006/relationships/image" Target="media/image1.e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1656</Words>
  <Characters>9441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ingersonj</dc:creator>
  <cp:keywords/>
  <dc:description/>
  <cp:lastModifiedBy> David Chaston</cp:lastModifiedBy>
  <cp:revision>2</cp:revision>
  <cp:lastPrinted>2012-10-07T21:41:00Z</cp:lastPrinted>
  <dcterms:created xsi:type="dcterms:W3CDTF">2012-11-07T22:59:00Z</dcterms:created>
  <dcterms:modified xsi:type="dcterms:W3CDTF">2012-11-07T22:59:00Z</dcterms:modified>
</cp:coreProperties>
</file>